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rawings/drawing1.xml" ContentType="application/vnd.openxmlformats-officedocument.drawingml.chartshapes+xml"/>
  <Override PartName="/word/drawings/drawing6.xml" ContentType="application/vnd.openxmlformats-officedocument.drawingml.chartshapes+xml"/>
  <Override PartName="/word/drawings/drawing4.xml" ContentType="application/vnd.openxmlformats-officedocument.drawingml.chartshapes+xml"/>
  <Override PartName="/word/drawings/drawing3.xml" ContentType="application/vnd.openxmlformats-officedocument.drawingml.chartshapes+xml"/>
  <Override PartName="/word/drawings/drawing5.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10.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8.xml" ContentType="application/vnd.openxmlformats-officedocument.wordprocessingml.footer+xml"/>
  <Override PartName="/word/footer17.xml" ContentType="application/vnd.openxmlformats-officedocument.wordprocessingml.footer+xml"/>
  <Override PartName="/word/footer9.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3.xml" ContentType="application/vnd.openxmlformats-officedocument.drawingml.chart+xml"/>
  <Override PartName="/word/charts/chart9.xml" ContentType="application/vnd.openxmlformats-officedocument.drawingml.chart+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val="en-NZ" w:eastAsia="en-NZ" w:bidi="ar-SA"/>
        </w:rPr>
        <w:drawing>
          <wp:inline distT="0" distB="0" distL="0" distR="0" wp14:anchorId="24DC577D" wp14:editId="3415199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92D4D" w:rsidRDefault="00E92D4D" w:rsidP="00690206">
      <w:pPr>
        <w:pStyle w:val="FSTitle"/>
        <w:rPr>
          <w:b/>
        </w:rPr>
      </w:pPr>
    </w:p>
    <w:p w:rsidR="00092CDA" w:rsidRPr="005B7A73" w:rsidRDefault="00092CDA" w:rsidP="00690206">
      <w:pPr>
        <w:pStyle w:val="FSTitle"/>
        <w:rPr>
          <w:b/>
        </w:rPr>
      </w:pPr>
      <w:r w:rsidRPr="005B7A73">
        <w:rPr>
          <w:b/>
        </w:rPr>
        <w:t>S</w:t>
      </w:r>
      <w:r w:rsidR="00B12F1E" w:rsidRPr="005B7A73">
        <w:rPr>
          <w:b/>
        </w:rPr>
        <w:t xml:space="preserve">upporting </w:t>
      </w:r>
      <w:r w:rsidR="00B12F1E" w:rsidRPr="00471925">
        <w:rPr>
          <w:b/>
        </w:rPr>
        <w:t>document</w:t>
      </w:r>
      <w:r w:rsidRPr="00471925">
        <w:rPr>
          <w:b/>
        </w:rPr>
        <w:t xml:space="preserve"> </w:t>
      </w:r>
      <w:r w:rsidR="00471925" w:rsidRPr="00471925">
        <w:rPr>
          <w:b/>
        </w:rPr>
        <w:t>1</w:t>
      </w:r>
    </w:p>
    <w:p w:rsidR="00BA24E2" w:rsidRDefault="00BA24E2" w:rsidP="00E203C2"/>
    <w:p w:rsidR="00E203C2" w:rsidRPr="00471925" w:rsidRDefault="000B6DF7" w:rsidP="00690206">
      <w:r>
        <w:rPr>
          <w:rFonts w:cs="Tahoma"/>
          <w:bCs/>
          <w:sz w:val="32"/>
        </w:rPr>
        <w:t xml:space="preserve">2013 survey of the </w:t>
      </w:r>
      <w:r w:rsidRPr="0077155B">
        <w:rPr>
          <w:rFonts w:cs="Tahoma"/>
          <w:bCs/>
          <w:sz w:val="32"/>
        </w:rPr>
        <w:t>t</w:t>
      </w:r>
      <w:r w:rsidR="00471925" w:rsidRPr="0077155B">
        <w:rPr>
          <w:rFonts w:cs="Tahoma"/>
          <w:bCs/>
          <w:sz w:val="32"/>
        </w:rPr>
        <w:t>rans</w:t>
      </w:r>
      <w:r w:rsidR="00471925" w:rsidRPr="00471925">
        <w:rPr>
          <w:rFonts w:cs="Tahoma"/>
          <w:bCs/>
          <w:sz w:val="32"/>
        </w:rPr>
        <w:t xml:space="preserve"> fatty acid </w:t>
      </w:r>
      <w:r w:rsidR="00471925">
        <w:rPr>
          <w:rFonts w:cs="Tahoma"/>
          <w:bCs/>
          <w:sz w:val="32"/>
        </w:rPr>
        <w:t>content of Australian and New Zealand foods</w:t>
      </w:r>
    </w:p>
    <w:p w:rsidR="00E203C2" w:rsidRDefault="00E203C2" w:rsidP="00E203C2">
      <w:pPr>
        <w:pBdr>
          <w:bottom w:val="single" w:sz="12" w:space="1" w:color="auto"/>
        </w:pBdr>
        <w:spacing w:line="280" w:lineRule="exact"/>
        <w:rPr>
          <w:rFonts w:cs="Arial"/>
          <w:bCs/>
        </w:rPr>
      </w:pPr>
    </w:p>
    <w:p w:rsidR="000B6DF7" w:rsidRDefault="000B6DF7" w:rsidP="000B6DF7">
      <w:pPr>
        <w:pBdr>
          <w:bottom w:val="single" w:sz="12" w:space="1" w:color="auto"/>
        </w:pBdr>
        <w:spacing w:line="280" w:lineRule="exact"/>
        <w:rPr>
          <w:rFonts w:cs="Arial"/>
          <w:bCs/>
          <w:i/>
          <w:iCs/>
        </w:rPr>
      </w:pPr>
      <w:r w:rsidRPr="000B6DF7">
        <w:rPr>
          <w:rFonts w:cs="Arial"/>
          <w:bCs/>
          <w:i/>
          <w:iCs/>
        </w:rPr>
        <w:t xml:space="preserve">A survey conducted under the </w:t>
      </w:r>
      <w:r w:rsidR="008B57D4">
        <w:rPr>
          <w:rFonts w:cs="Arial"/>
          <w:bCs/>
          <w:i/>
          <w:iCs/>
        </w:rPr>
        <w:t xml:space="preserve">Implementation Subcommittee for Food Regulation </w:t>
      </w:r>
      <w:r w:rsidRPr="000B6DF7">
        <w:rPr>
          <w:rFonts w:cs="Arial"/>
          <w:bCs/>
          <w:i/>
          <w:iCs/>
        </w:rPr>
        <w:t xml:space="preserve">Coordinated Food Survey Plan with participation from </w:t>
      </w:r>
      <w:r w:rsidR="009D0A68">
        <w:rPr>
          <w:rFonts w:cs="Arial"/>
          <w:bCs/>
          <w:i/>
          <w:iCs/>
        </w:rPr>
        <w:t>New South Wales, Western Australia, Victoria, South Australia</w:t>
      </w:r>
      <w:r w:rsidR="00960415">
        <w:rPr>
          <w:rFonts w:cs="Arial"/>
          <w:bCs/>
          <w:i/>
          <w:iCs/>
        </w:rPr>
        <w:t>, Queensland, Tasmania</w:t>
      </w:r>
      <w:r w:rsidR="009D0A68">
        <w:rPr>
          <w:rFonts w:cs="Arial"/>
          <w:bCs/>
          <w:i/>
          <w:iCs/>
        </w:rPr>
        <w:t xml:space="preserve"> and New Zealand.</w:t>
      </w:r>
    </w:p>
    <w:p w:rsidR="000B6DF7" w:rsidRDefault="000B6DF7" w:rsidP="00E203C2">
      <w:pPr>
        <w:pBdr>
          <w:bottom w:val="single" w:sz="12" w:space="1" w:color="auto"/>
        </w:pBdr>
        <w:spacing w:line="280" w:lineRule="exact"/>
        <w:rPr>
          <w:rFonts w:cs="Arial"/>
          <w:bCs/>
        </w:rPr>
      </w:pPr>
    </w:p>
    <w:p w:rsidR="00E203C2" w:rsidRPr="00B37BF0" w:rsidRDefault="00E203C2" w:rsidP="00E203C2"/>
    <w:p w:rsidR="00092CDA" w:rsidRPr="00092CDA" w:rsidRDefault="00092CDA" w:rsidP="00352CF2">
      <w:pPr>
        <w:pStyle w:val="Heading1"/>
        <w:spacing w:before="0"/>
      </w:pPr>
      <w:bookmarkStart w:id="1" w:name="_Toc286391001"/>
      <w:bookmarkStart w:id="2" w:name="_Toc300933414"/>
      <w:bookmarkStart w:id="3" w:name="_Toc389651996"/>
      <w:r w:rsidRPr="00092CDA">
        <w:t xml:space="preserve">Executive </w:t>
      </w:r>
      <w:r w:rsidR="00B12F1E">
        <w:t>s</w:t>
      </w:r>
      <w:r w:rsidRPr="00092CDA">
        <w:t>ummary</w:t>
      </w:r>
      <w:bookmarkEnd w:id="1"/>
      <w:bookmarkEnd w:id="2"/>
      <w:bookmarkEnd w:id="3"/>
    </w:p>
    <w:p w:rsidR="00640494" w:rsidRDefault="00640494" w:rsidP="000B6DF7">
      <w:r>
        <w:t xml:space="preserve">In December 2011 ministers responsible for food regulation asked Food Standards Australia New Zealand (FSANZ) to </w:t>
      </w:r>
      <w:r w:rsidR="000B27E7">
        <w:t xml:space="preserve">respond to </w:t>
      </w:r>
      <w:r>
        <w:t xml:space="preserve">a number </w:t>
      </w:r>
      <w:r w:rsidR="004644F6">
        <w:t xml:space="preserve">of </w:t>
      </w:r>
      <w:r>
        <w:t xml:space="preserve">recommendations arising from an independent review of food labelling. </w:t>
      </w:r>
    </w:p>
    <w:p w:rsidR="00640494" w:rsidRDefault="00640494" w:rsidP="000B6DF7"/>
    <w:p w:rsidR="008B57D4" w:rsidRDefault="00640494" w:rsidP="000B6DF7">
      <w:r>
        <w:t xml:space="preserve">One of those recommendations was that the </w:t>
      </w:r>
      <w:r w:rsidRPr="00D873BB">
        <w:rPr>
          <w:rFonts w:cs="Arial"/>
          <w:color w:val="000000"/>
          <w:lang w:val="en-AU"/>
        </w:rPr>
        <w:t>mandatory declarat</w:t>
      </w:r>
      <w:r>
        <w:rPr>
          <w:rFonts w:cs="Arial"/>
          <w:color w:val="000000"/>
          <w:lang w:val="en-AU"/>
        </w:rPr>
        <w:t xml:space="preserve">ion of all trans fatty acids </w:t>
      </w:r>
      <w:r w:rsidR="004644F6">
        <w:rPr>
          <w:rFonts w:cs="Arial"/>
          <w:color w:val="000000"/>
          <w:lang w:val="en-AU"/>
        </w:rPr>
        <w:t xml:space="preserve">(TFAs) </w:t>
      </w:r>
      <w:r w:rsidRPr="00D873BB">
        <w:rPr>
          <w:rFonts w:cs="Arial"/>
          <w:color w:val="000000"/>
          <w:lang w:val="en-AU"/>
        </w:rPr>
        <w:t xml:space="preserve">above an agreed threshold be </w:t>
      </w:r>
      <w:r w:rsidR="004644F6">
        <w:rPr>
          <w:rFonts w:cs="Arial"/>
          <w:color w:val="000000"/>
          <w:lang w:val="en-AU"/>
        </w:rPr>
        <w:t xml:space="preserve">introduced in </w:t>
      </w:r>
      <w:r>
        <w:rPr>
          <w:rFonts w:cs="Arial"/>
          <w:color w:val="000000"/>
          <w:lang w:val="en-AU"/>
        </w:rPr>
        <w:t>the nutrition information p</w:t>
      </w:r>
      <w:r w:rsidRPr="00D873BB">
        <w:rPr>
          <w:rFonts w:cs="Arial"/>
          <w:color w:val="000000"/>
          <w:lang w:val="en-AU"/>
        </w:rPr>
        <w:t xml:space="preserve">anel if manufactured TFAs have not been phased out of </w:t>
      </w:r>
      <w:r>
        <w:rPr>
          <w:rFonts w:cs="Arial"/>
          <w:color w:val="000000"/>
          <w:lang w:val="en-AU"/>
        </w:rPr>
        <w:t>the food supply by January 2013</w:t>
      </w:r>
      <w:r w:rsidR="004644F6">
        <w:rPr>
          <w:rFonts w:cs="Arial"/>
          <w:color w:val="000000"/>
          <w:lang w:val="en-AU"/>
        </w:rPr>
        <w:t>.</w:t>
      </w:r>
      <w:r w:rsidR="008B57D4">
        <w:t xml:space="preserve"> </w:t>
      </w:r>
    </w:p>
    <w:p w:rsidR="008B57D4" w:rsidRDefault="008B57D4" w:rsidP="000B6DF7"/>
    <w:p w:rsidR="00640494" w:rsidRDefault="00640494" w:rsidP="00640494">
      <w:pPr>
        <w:rPr>
          <w:rFonts w:cs="Arial"/>
          <w:color w:val="000000"/>
          <w:lang w:val="en-AU"/>
        </w:rPr>
      </w:pPr>
      <w:r>
        <w:t xml:space="preserve">This survey was undertaken to inform </w:t>
      </w:r>
      <w:r>
        <w:rPr>
          <w:rFonts w:cs="Arial"/>
          <w:color w:val="000000"/>
          <w:lang w:val="en-AU"/>
        </w:rPr>
        <w:t>FSANZ’s response to</w:t>
      </w:r>
      <w:r w:rsidRPr="00D873BB">
        <w:rPr>
          <w:rFonts w:cs="Arial"/>
          <w:color w:val="000000"/>
          <w:lang w:val="en-AU"/>
        </w:rPr>
        <w:t xml:space="preserve"> </w:t>
      </w:r>
      <w:r>
        <w:rPr>
          <w:rFonts w:cs="Arial"/>
          <w:color w:val="000000"/>
          <w:lang w:val="en-AU"/>
        </w:rPr>
        <w:t xml:space="preserve">the </w:t>
      </w:r>
      <w:r w:rsidRPr="00D873BB">
        <w:rPr>
          <w:rFonts w:cs="Arial"/>
          <w:color w:val="000000"/>
          <w:lang w:val="en-AU"/>
        </w:rPr>
        <w:t xml:space="preserve">recommendation </w:t>
      </w:r>
      <w:r>
        <w:rPr>
          <w:rFonts w:cs="Arial"/>
          <w:color w:val="000000"/>
          <w:lang w:val="en-AU"/>
        </w:rPr>
        <w:t>on TFAs.</w:t>
      </w:r>
    </w:p>
    <w:p w:rsidR="00640494" w:rsidRDefault="00640494" w:rsidP="00640494">
      <w:pPr>
        <w:rPr>
          <w:rFonts w:cs="Arial"/>
          <w:color w:val="000000"/>
          <w:lang w:val="en-AU"/>
        </w:rPr>
      </w:pPr>
    </w:p>
    <w:p w:rsidR="000B6DF7" w:rsidRDefault="000B6DF7" w:rsidP="000B6DF7">
      <w:r>
        <w:t>TFA</w:t>
      </w:r>
      <w:r w:rsidR="0077155B">
        <w:t>s</w:t>
      </w:r>
      <w:r>
        <w:t xml:space="preserve"> occur naturally in meat and milk from ruminant animals </w:t>
      </w:r>
      <w:r w:rsidR="000A38C0">
        <w:t xml:space="preserve">(e.g. cattle) </w:t>
      </w:r>
      <w:r>
        <w:t xml:space="preserve">and through </w:t>
      </w:r>
      <w:r w:rsidRPr="000E1F71">
        <w:t>manufacturing</w:t>
      </w:r>
      <w:r>
        <w:t xml:space="preserve"> processes such as hydrogenation. Hydrogenation has been widely used since the early 1900’s to produce fat blends for margarine, shortening and deep frying. TFA</w:t>
      </w:r>
      <w:r w:rsidR="0077155B">
        <w:t>s</w:t>
      </w:r>
      <w:r>
        <w:t xml:space="preserve"> can also be formed in food through other manufacturing processes including deodorisation of oils to remove aromatic impurities, and heating of oils at excessive temperatures.</w:t>
      </w:r>
    </w:p>
    <w:p w:rsidR="00640494" w:rsidRDefault="00640494" w:rsidP="000B6DF7"/>
    <w:p w:rsidR="00640494" w:rsidRDefault="007B7B82" w:rsidP="00640494">
      <w:r w:rsidRPr="007B7B82">
        <w:t xml:space="preserve">It is clear that TFAs raise the amount of low-density lipoprotein (LDL) cholesterol in our blood, and lower the amount of high-density lipoprotein (HDL) cholesterol. Both these changes increase </w:t>
      </w:r>
      <w:r w:rsidR="002F6A92">
        <w:t xml:space="preserve">the </w:t>
      </w:r>
      <w:r w:rsidRPr="007B7B82">
        <w:t>risk of coronary heart disease.</w:t>
      </w:r>
    </w:p>
    <w:p w:rsidR="007B7B82" w:rsidRPr="00640494" w:rsidRDefault="007B7B82" w:rsidP="00640494"/>
    <w:p w:rsidR="00640494" w:rsidRPr="00640494" w:rsidRDefault="00640494" w:rsidP="00640494">
      <w:r w:rsidRPr="00640494">
        <w:t>The World Health Organization (WHO) recommends that no more than 1 per cent of our daily energy intake (kilojoules) should come from TFAs. </w:t>
      </w:r>
    </w:p>
    <w:p w:rsidR="00640494" w:rsidRDefault="00640494" w:rsidP="000B6DF7"/>
    <w:p w:rsidR="000B6DF7" w:rsidRPr="00081BA8" w:rsidRDefault="000B6DF7" w:rsidP="000B6DF7">
      <w:r w:rsidRPr="00081BA8">
        <w:t xml:space="preserve">In 2007 and 2009, Food Standards Australia New Zealand (FSANZ) conducted formal scientific reviews of </w:t>
      </w:r>
      <w:r>
        <w:t xml:space="preserve">dietary </w:t>
      </w:r>
      <w:r w:rsidR="00D405DF">
        <w:t>trans fatty acid (</w:t>
      </w:r>
      <w:r w:rsidRPr="00081BA8">
        <w:t>TFA</w:t>
      </w:r>
      <w:r w:rsidR="00D405DF">
        <w:t>)</w:t>
      </w:r>
      <w:r w:rsidRPr="00081BA8">
        <w:t xml:space="preserve"> </w:t>
      </w:r>
      <w:r>
        <w:t xml:space="preserve">intake by Australian and New Zealand consumers. These reviews concluded that the </w:t>
      </w:r>
      <w:r w:rsidRPr="00081BA8">
        <w:t>contri</w:t>
      </w:r>
      <w:r>
        <w:t>butions of TFA</w:t>
      </w:r>
      <w:r w:rsidR="00854001">
        <w:t>s</w:t>
      </w:r>
      <w:r>
        <w:t xml:space="preserve"> to energy intake for</w:t>
      </w:r>
      <w:r w:rsidRPr="00081BA8">
        <w:t xml:space="preserve"> Au</w:t>
      </w:r>
      <w:r>
        <w:t>stralian and New Zealander consumers were</w:t>
      </w:r>
      <w:r w:rsidRPr="00081BA8">
        <w:t xml:space="preserve"> below the goal of 1% </w:t>
      </w:r>
      <w:r>
        <w:t xml:space="preserve">of energy intake </w:t>
      </w:r>
      <w:r w:rsidRPr="00081BA8">
        <w:t xml:space="preserve">proposed by the </w:t>
      </w:r>
      <w:r>
        <w:t>WHO, and</w:t>
      </w:r>
      <w:r w:rsidRPr="00081BA8">
        <w:t xml:space="preserve"> </w:t>
      </w:r>
      <w:r>
        <w:t xml:space="preserve">were </w:t>
      </w:r>
      <w:r w:rsidRPr="00081BA8">
        <w:t xml:space="preserve">comparable to or lower than intake estimates from some </w:t>
      </w:r>
      <w:r w:rsidR="00D405DF">
        <w:t>other countries</w:t>
      </w:r>
      <w:r w:rsidRPr="00081BA8">
        <w:t xml:space="preserve">. </w:t>
      </w:r>
    </w:p>
    <w:p w:rsidR="000B6DF7" w:rsidRPr="00081BA8" w:rsidRDefault="000B6DF7" w:rsidP="000B6DF7"/>
    <w:p w:rsidR="000B6DF7" w:rsidRDefault="000B6DF7" w:rsidP="000B6DF7">
      <w:pPr>
        <w:rPr>
          <w:rFonts w:cs="Arial"/>
          <w:color w:val="000000"/>
          <w:lang w:val="en-AU"/>
        </w:rPr>
      </w:pPr>
      <w:r>
        <w:rPr>
          <w:rFonts w:cs="Arial"/>
          <w:color w:val="000000"/>
          <w:lang w:val="en-AU"/>
        </w:rPr>
        <w:t>Th</w:t>
      </w:r>
      <w:r w:rsidR="00640494">
        <w:rPr>
          <w:rFonts w:cs="Arial"/>
          <w:color w:val="000000"/>
          <w:lang w:val="en-AU"/>
        </w:rPr>
        <w:t xml:space="preserve">is survey aimed to </w:t>
      </w:r>
      <w:r>
        <w:rPr>
          <w:rFonts w:cs="Arial"/>
          <w:color w:val="000000"/>
          <w:lang w:val="en-AU"/>
        </w:rPr>
        <w:t>establish</w:t>
      </w:r>
      <w:r w:rsidRPr="00081BA8">
        <w:rPr>
          <w:rFonts w:cs="Arial"/>
          <w:color w:val="000000"/>
          <w:lang w:val="en-AU"/>
        </w:rPr>
        <w:t xml:space="preserve"> current levels of TFA</w:t>
      </w:r>
      <w:r w:rsidR="0077155B">
        <w:rPr>
          <w:rFonts w:cs="Arial"/>
          <w:color w:val="000000"/>
          <w:lang w:val="en-AU"/>
        </w:rPr>
        <w:t>s</w:t>
      </w:r>
      <w:r w:rsidRPr="00081BA8">
        <w:rPr>
          <w:rFonts w:cs="Arial"/>
          <w:color w:val="000000"/>
          <w:lang w:val="en-AU"/>
        </w:rPr>
        <w:t xml:space="preserve"> in a range of processed and takeaway foods available</w:t>
      </w:r>
      <w:r>
        <w:rPr>
          <w:rFonts w:cs="Arial"/>
          <w:color w:val="000000"/>
          <w:lang w:val="en-AU"/>
        </w:rPr>
        <w:t xml:space="preserve"> in Australia and New Zealand.</w:t>
      </w:r>
      <w:r w:rsidRPr="00D873BB">
        <w:rPr>
          <w:rFonts w:cs="Arial"/>
          <w:color w:val="000000"/>
          <w:lang w:val="en-AU"/>
        </w:rPr>
        <w:t xml:space="preserve"> </w:t>
      </w:r>
    </w:p>
    <w:p w:rsidR="000B6DF7" w:rsidRPr="00AB7C35" w:rsidRDefault="000B6DF7" w:rsidP="000B6DF7">
      <w:pPr>
        <w:rPr>
          <w:rFonts w:cs="Arial"/>
          <w:i/>
          <w:color w:val="000000"/>
          <w:lang w:val="en-AU"/>
        </w:rPr>
      </w:pPr>
    </w:p>
    <w:p w:rsidR="000B6DF7" w:rsidRPr="00081BA8" w:rsidRDefault="000B6DF7" w:rsidP="000B6DF7">
      <w:r w:rsidRPr="00081BA8">
        <w:t xml:space="preserve">A total of 500 </w:t>
      </w:r>
      <w:r w:rsidRPr="00181CB2">
        <w:t xml:space="preserve">samples from </w:t>
      </w:r>
      <w:r>
        <w:t>39</w:t>
      </w:r>
      <w:r w:rsidRPr="00181CB2">
        <w:t xml:space="preserve"> different </w:t>
      </w:r>
      <w:r>
        <w:t>product categories</w:t>
      </w:r>
      <w:r w:rsidRPr="00081BA8">
        <w:t xml:space="preserve"> were collected from New South Wales, Western Australia, New Zealand, South Australia, Tasmania, Queensland and Victoria, over a two week period in October 2013.</w:t>
      </w:r>
      <w:r>
        <w:t xml:space="preserve"> </w:t>
      </w:r>
      <w:r w:rsidRPr="0069332D">
        <w:t xml:space="preserve">Samples were selected to include </w:t>
      </w:r>
      <w:r w:rsidR="000A38C0">
        <w:t xml:space="preserve">different </w:t>
      </w:r>
      <w:r w:rsidR="000A38C0">
        <w:lastRenderedPageBreak/>
        <w:t>quality products and a range of prices,</w:t>
      </w:r>
      <w:r w:rsidRPr="0069332D">
        <w:t xml:space="preserve"> from lower priced </w:t>
      </w:r>
      <w:r w:rsidR="006A1F64">
        <w:t>private label</w:t>
      </w:r>
      <w:r w:rsidRPr="0069332D">
        <w:t xml:space="preserve"> products to more expensive products. </w:t>
      </w:r>
      <w:r w:rsidRPr="00081BA8">
        <w:t xml:space="preserve">The range of </w:t>
      </w:r>
      <w:r>
        <w:t>product categories</w:t>
      </w:r>
      <w:r w:rsidRPr="00081BA8">
        <w:t xml:space="preserve"> tested included takeaway foods, fats and oils, snack foods, meat products, and bakery products. Analytical measurements were conducted by three separate laboratories using validated methods for </w:t>
      </w:r>
      <w:r w:rsidR="000A38C0">
        <w:t>measuring</w:t>
      </w:r>
      <w:r w:rsidRPr="00081BA8">
        <w:t xml:space="preserve"> TFA</w:t>
      </w:r>
      <w:r w:rsidR="0077155B">
        <w:t xml:space="preserve">s </w:t>
      </w:r>
      <w:r w:rsidRPr="00081BA8">
        <w:t xml:space="preserve">in foods. </w:t>
      </w:r>
    </w:p>
    <w:p w:rsidR="000B6DF7" w:rsidRDefault="000B6DF7" w:rsidP="000B6DF7"/>
    <w:p w:rsidR="000B6DF7" w:rsidRDefault="000B6DF7" w:rsidP="000B6DF7">
      <w:r w:rsidRPr="008234DB">
        <w:t>The sampl</w:t>
      </w:r>
      <w:r>
        <w:t>ing plan attempted to reflect</w:t>
      </w:r>
      <w:r w:rsidRPr="008234DB">
        <w:t xml:space="preserve"> food products and categories sampled in 200</w:t>
      </w:r>
      <w:r>
        <w:t>8</w:t>
      </w:r>
      <w:r w:rsidR="000A38C0">
        <w:rPr>
          <w:rFonts w:cs="Arial"/>
        </w:rPr>
        <w:t>‒</w:t>
      </w:r>
      <w:r>
        <w:t>0</w:t>
      </w:r>
      <w:r w:rsidRPr="008234DB">
        <w:t xml:space="preserve">9 </w:t>
      </w:r>
      <w:r w:rsidR="000A38C0">
        <w:t xml:space="preserve">so </w:t>
      </w:r>
      <w:r w:rsidRPr="008234DB">
        <w:t xml:space="preserve">a direct comparison of TFA levels </w:t>
      </w:r>
      <w:r w:rsidR="000A38C0">
        <w:t xml:space="preserve">could be made </w:t>
      </w:r>
      <w:r w:rsidRPr="008234DB">
        <w:t>where possible. However</w:t>
      </w:r>
      <w:r>
        <w:t>, some modifications to the 2008</w:t>
      </w:r>
      <w:r w:rsidR="000A38C0">
        <w:rPr>
          <w:rFonts w:cs="Arial"/>
        </w:rPr>
        <w:t>‒</w:t>
      </w:r>
      <w:r>
        <w:t>09</w:t>
      </w:r>
      <w:r w:rsidRPr="008234DB">
        <w:t xml:space="preserve"> sampling plan were made </w:t>
      </w:r>
      <w:r w:rsidR="0077155B">
        <w:t>based on</w:t>
      </w:r>
      <w:r w:rsidRPr="008234DB">
        <w:t xml:space="preserve"> previous results</w:t>
      </w:r>
      <w:r w:rsidR="00D405DF">
        <w:t>,</w:t>
      </w:r>
      <w:r w:rsidRPr="008234DB">
        <w:t xml:space="preserve"> to remove foods that contributed only a low amount of total fat to the diet, and to reduce unnecessary duplication of samples. Some foods were also added to the sampling plan where the </w:t>
      </w:r>
      <w:r>
        <w:t xml:space="preserve">2013 </w:t>
      </w:r>
      <w:r w:rsidRPr="008234DB">
        <w:t xml:space="preserve">FSANZ </w:t>
      </w:r>
      <w:r>
        <w:t>industry</w:t>
      </w:r>
      <w:r w:rsidRPr="008234DB">
        <w:t xml:space="preserve"> survey or international studies identified </w:t>
      </w:r>
      <w:r>
        <w:t>that these foods were</w:t>
      </w:r>
      <w:r w:rsidRPr="008234DB">
        <w:t xml:space="preserve"> high in total fat and TFA</w:t>
      </w:r>
      <w:r w:rsidR="0077155B">
        <w:t>s</w:t>
      </w:r>
      <w:r w:rsidRPr="008234DB">
        <w:t>.</w:t>
      </w:r>
    </w:p>
    <w:p w:rsidR="000A38C0" w:rsidRPr="008234DB" w:rsidRDefault="000A38C0" w:rsidP="000B6DF7"/>
    <w:p w:rsidR="000B6DF7" w:rsidRDefault="000B6DF7" w:rsidP="000B6DF7">
      <w:r w:rsidRPr="00081BA8">
        <w:t>TFA</w:t>
      </w:r>
      <w:r w:rsidR="0077155B">
        <w:t>s</w:t>
      </w:r>
      <w:r w:rsidRPr="00081BA8">
        <w:t xml:space="preserve"> </w:t>
      </w:r>
      <w:r w:rsidR="0077155B">
        <w:t xml:space="preserve">were </w:t>
      </w:r>
      <w:r>
        <w:t xml:space="preserve">detected in 36 of the 39 product categories </w:t>
      </w:r>
      <w:r w:rsidRPr="00081BA8">
        <w:t xml:space="preserve">analysed. </w:t>
      </w:r>
      <w:r w:rsidR="0077155B">
        <w:t>The h</w:t>
      </w:r>
      <w:r w:rsidRPr="00081BA8">
        <w:t>ighest median concentrations of TFA</w:t>
      </w:r>
      <w:r w:rsidR="0077155B">
        <w:t>s</w:t>
      </w:r>
      <w:r w:rsidRPr="00081BA8">
        <w:t xml:space="preserve"> were found </w:t>
      </w:r>
      <w:r>
        <w:t xml:space="preserve">in </w:t>
      </w:r>
      <w:r w:rsidRPr="00081BA8">
        <w:t>edible oil spreads</w:t>
      </w:r>
      <w:r>
        <w:t>,</w:t>
      </w:r>
      <w:r w:rsidRPr="00081BA8">
        <w:t xml:space="preserve"> vegetable oils, croissants, custard baked goods, and prepared pastry. TFA</w:t>
      </w:r>
      <w:r w:rsidR="0077155B">
        <w:t xml:space="preserve">s were </w:t>
      </w:r>
      <w:r w:rsidRPr="00081BA8">
        <w:t xml:space="preserve">not detected in pikelets/pancakes, snack bars and toasted style muesli. </w:t>
      </w:r>
      <w:r w:rsidR="00115092" w:rsidRPr="00081BA8">
        <w:t>Whil</w:t>
      </w:r>
      <w:r w:rsidR="000A38C0">
        <w:t>e</w:t>
      </w:r>
      <w:r w:rsidR="00115092" w:rsidRPr="00081BA8">
        <w:t xml:space="preserve"> TFA</w:t>
      </w:r>
      <w:r w:rsidR="00115092">
        <w:t>s</w:t>
      </w:r>
      <w:r w:rsidR="00115092" w:rsidRPr="00081BA8">
        <w:t xml:space="preserve"> w</w:t>
      </w:r>
      <w:r w:rsidR="00115092">
        <w:t>ere</w:t>
      </w:r>
      <w:r w:rsidR="00115092" w:rsidRPr="00081BA8">
        <w:t xml:space="preserve"> detected in most product categories</w:t>
      </w:r>
      <w:r w:rsidR="006250F5">
        <w:t>,</w:t>
      </w:r>
      <w:r w:rsidR="00115092">
        <w:t xml:space="preserve"> the </w:t>
      </w:r>
      <w:r w:rsidR="006250F5">
        <w:t xml:space="preserve">median </w:t>
      </w:r>
      <w:r w:rsidR="00115092">
        <w:t xml:space="preserve">concentrations in Australian and New Zealand foods were generally low. Excluding samples likely to contain ruminant TFA, approximately </w:t>
      </w:r>
      <w:r w:rsidR="00F5623B">
        <w:t>86</w:t>
      </w:r>
      <w:r w:rsidR="00115092">
        <w:t xml:space="preserve">% of the samples had TFA </w:t>
      </w:r>
      <w:r w:rsidR="00F15909">
        <w:t>concentrations</w:t>
      </w:r>
      <w:r w:rsidR="00E11A9D">
        <w:t xml:space="preserve"> below 2 g/100 g fat, the limit</w:t>
      </w:r>
      <w:r w:rsidR="00F5623B">
        <w:t xml:space="preserve"> </w:t>
      </w:r>
      <w:r w:rsidR="00115092">
        <w:t>adopted</w:t>
      </w:r>
      <w:r w:rsidR="00E11A9D">
        <w:t xml:space="preserve"> for manufactured TFAs</w:t>
      </w:r>
      <w:r w:rsidR="00115092">
        <w:t xml:space="preserve"> in Danish legislation in 2003. </w:t>
      </w:r>
    </w:p>
    <w:p w:rsidR="00E11A9D" w:rsidRPr="0093343D" w:rsidRDefault="00E11A9D" w:rsidP="000B6DF7">
      <w:pPr>
        <w:rPr>
          <w:i/>
        </w:rPr>
      </w:pPr>
    </w:p>
    <w:p w:rsidR="000B6DF7" w:rsidRPr="001776B6" w:rsidRDefault="00BA6065" w:rsidP="000B6DF7">
      <w:r w:rsidRPr="001776B6">
        <w:t>Median TFA concentrations were generally consistent with those observed in the 2008-09 survey, with n</w:t>
      </w:r>
      <w:r w:rsidR="000B6DF7" w:rsidRPr="001776B6">
        <w:t>o clear trend toward an increase or a decrease in median TFA concentrations</w:t>
      </w:r>
      <w:r w:rsidRPr="001776B6">
        <w:t xml:space="preserve"> found</w:t>
      </w:r>
      <w:r w:rsidR="000B6DF7" w:rsidRPr="001776B6">
        <w:t xml:space="preserve"> in Australian </w:t>
      </w:r>
      <w:r w:rsidR="00D405DF" w:rsidRPr="001776B6">
        <w:t>or</w:t>
      </w:r>
      <w:r w:rsidRPr="001776B6">
        <w:t xml:space="preserve"> New Zealand foods</w:t>
      </w:r>
      <w:r w:rsidR="000B6DF7" w:rsidRPr="001776B6">
        <w:t>. Statistically significant (p&lt;0.01) increases in TFA concentration were observed in only one product category</w:t>
      </w:r>
      <w:r w:rsidR="000A38C0" w:rsidRPr="001776B6">
        <w:rPr>
          <w:rFonts w:cs="Arial"/>
        </w:rPr>
        <w:t>—</w:t>
      </w:r>
      <w:r w:rsidR="000B6DF7" w:rsidRPr="001776B6">
        <w:t>chicken nuggets/products (median concentrations of TFA</w:t>
      </w:r>
      <w:r w:rsidR="0077155B" w:rsidRPr="001776B6">
        <w:t>s</w:t>
      </w:r>
      <w:r w:rsidR="000B6DF7" w:rsidRPr="001776B6">
        <w:t xml:space="preserve"> in chicken nuggets/products were 0.1</w:t>
      </w:r>
      <w:r w:rsidR="00477BC6" w:rsidRPr="001776B6">
        <w:t xml:space="preserve"> and 0.2 g</w:t>
      </w:r>
      <w:r w:rsidR="003511AE" w:rsidRPr="001776B6">
        <w:t>/</w:t>
      </w:r>
      <w:r w:rsidR="000B6DF7" w:rsidRPr="001776B6">
        <w:t>100 g food in the 2008</w:t>
      </w:r>
      <w:r w:rsidR="000A38C0" w:rsidRPr="001776B6">
        <w:rPr>
          <w:rFonts w:cs="Arial"/>
        </w:rPr>
        <w:t>‒</w:t>
      </w:r>
      <w:r w:rsidR="000B6DF7" w:rsidRPr="001776B6">
        <w:t xml:space="preserve">09 and 2013 surveys, respectively). This product category was widened slightly to include other chicken products in the current survey, which may have contributed to this result. No significant changes in TFA concentrations were observed in other product categories. </w:t>
      </w:r>
    </w:p>
    <w:p w:rsidR="000B6DF7" w:rsidRPr="001776B6" w:rsidRDefault="000B6DF7" w:rsidP="000B6DF7"/>
    <w:p w:rsidR="00B32BDA" w:rsidRPr="001776B6" w:rsidRDefault="00B32BDA" w:rsidP="000B6DF7">
      <w:r w:rsidRPr="001776B6">
        <w:t xml:space="preserve">On the basis that the analytical results did not show an increase in TFA concentrations in Australian or New Zealand foods, it is anticipated that the dietary intake of TFAs remains low, and below the WHO recommended level of 1% dietary energy in both Australia and New Zealand.  </w:t>
      </w:r>
    </w:p>
    <w:p w:rsidR="00B32BDA" w:rsidRPr="001776B6" w:rsidRDefault="00B32BDA" w:rsidP="000B6DF7"/>
    <w:p w:rsidR="00B32BDA" w:rsidRPr="001776B6" w:rsidRDefault="00B32BDA" w:rsidP="00B32BDA">
      <w:r w:rsidRPr="001776B6">
        <w:t>O</w:t>
      </w:r>
      <w:r w:rsidR="000B6DF7" w:rsidRPr="001776B6">
        <w:t>n 9 May 2014, the summary results of the 2011</w:t>
      </w:r>
      <w:r w:rsidR="0077155B" w:rsidRPr="001776B6">
        <w:rPr>
          <w:rFonts w:cs="Arial"/>
          <w:i/>
        </w:rPr>
        <w:t>‒</w:t>
      </w:r>
      <w:r w:rsidR="000B6DF7" w:rsidRPr="001776B6">
        <w:t>12 National Nutrition and Physical Activity Survey (NNPAS) component of the Australian Health Survey were released. These included new estimates of TFA and energy intake and were based on up</w:t>
      </w:r>
      <w:r w:rsidR="000A38C0" w:rsidRPr="001776B6">
        <w:t>-</w:t>
      </w:r>
      <w:r w:rsidR="000B6DF7" w:rsidRPr="001776B6">
        <w:t>to</w:t>
      </w:r>
      <w:r w:rsidR="000A38C0" w:rsidRPr="001776B6">
        <w:t>-</w:t>
      </w:r>
      <w:r w:rsidR="000B6DF7" w:rsidRPr="001776B6">
        <w:t xml:space="preserve">date food consumption data and the TFA concentration data available to FSANZ in 2009. The NNPAS results show that TFA intake remains low, with the mean intake of all Australians 2 years and above (1.4 </w:t>
      </w:r>
      <w:r w:rsidR="000542A8" w:rsidRPr="001776B6">
        <w:t>g</w:t>
      </w:r>
      <w:r w:rsidR="00477BC6" w:rsidRPr="001776B6">
        <w:t>/</w:t>
      </w:r>
      <w:r w:rsidR="00AF4CB8" w:rsidRPr="001776B6">
        <w:t>day</w:t>
      </w:r>
      <w:r w:rsidR="000B6DF7" w:rsidRPr="001776B6">
        <w:t xml:space="preserve">) representing 0.6% of dietary energy. The dairy and meat </w:t>
      </w:r>
      <w:r w:rsidR="0050138E" w:rsidRPr="001776B6">
        <w:t>food groups</w:t>
      </w:r>
      <w:r w:rsidR="001950CB" w:rsidRPr="001776B6">
        <w:t>, together with butter</w:t>
      </w:r>
      <w:r w:rsidR="002B5A72" w:rsidRPr="001776B6">
        <w:t>s and dairy blends</w:t>
      </w:r>
      <w:r w:rsidR="00FA7825" w:rsidRPr="001776B6">
        <w:t xml:space="preserve">, </w:t>
      </w:r>
      <w:r w:rsidR="000B6DF7" w:rsidRPr="001776B6">
        <w:t xml:space="preserve">contributed </w:t>
      </w:r>
      <w:r w:rsidR="009076B5" w:rsidRPr="001776B6">
        <w:t xml:space="preserve">more than </w:t>
      </w:r>
      <w:r w:rsidR="000B6DF7" w:rsidRPr="001776B6">
        <w:t xml:space="preserve">half </w:t>
      </w:r>
      <w:r w:rsidR="00912B22" w:rsidRPr="001776B6">
        <w:t>of the</w:t>
      </w:r>
      <w:r w:rsidR="00960415" w:rsidRPr="001776B6">
        <w:t xml:space="preserve"> intake, which shows</w:t>
      </w:r>
      <w:r w:rsidR="000B6DF7" w:rsidRPr="001776B6">
        <w:t xml:space="preserve"> ruminant TFA</w:t>
      </w:r>
      <w:r w:rsidR="0077155B" w:rsidRPr="001776B6">
        <w:t>s</w:t>
      </w:r>
      <w:r w:rsidR="000B6DF7" w:rsidRPr="001776B6">
        <w:t xml:space="preserve"> continue to be the major source of TFA</w:t>
      </w:r>
      <w:r w:rsidR="00D405DF" w:rsidRPr="001776B6">
        <w:t>s</w:t>
      </w:r>
      <w:r w:rsidR="000B6DF7" w:rsidRPr="001776B6">
        <w:t xml:space="preserve"> in the Australian diet. The updated food consumption data indicate that the mean </w:t>
      </w:r>
      <w:r w:rsidR="00202A4E" w:rsidRPr="001776B6">
        <w:t>TFA</w:t>
      </w:r>
      <w:r w:rsidR="000B6DF7" w:rsidRPr="001776B6">
        <w:t xml:space="preserve"> intake of Australian consumers remains below the WHO recommendation</w:t>
      </w:r>
      <w:r w:rsidR="00734ACB" w:rsidRPr="001776B6">
        <w:t xml:space="preserve"> of </w:t>
      </w:r>
      <w:r w:rsidR="009076B5" w:rsidRPr="001776B6">
        <w:t xml:space="preserve">less than </w:t>
      </w:r>
      <w:r w:rsidR="00734ACB" w:rsidRPr="001776B6">
        <w:t>1% of dietary energy.</w:t>
      </w:r>
      <w:r w:rsidR="000B6DF7" w:rsidRPr="001776B6">
        <w:t xml:space="preserve"> </w:t>
      </w:r>
      <w:r w:rsidRPr="001776B6">
        <w:t xml:space="preserve">Updated consumption data for New Zealand are not yet available for dietary exposure modelling purposes. </w:t>
      </w:r>
    </w:p>
    <w:p w:rsidR="00B32BDA" w:rsidRPr="001776B6" w:rsidRDefault="00B32BDA" w:rsidP="000B6DF7"/>
    <w:p w:rsidR="00B32BDA" w:rsidRPr="001776B6" w:rsidRDefault="00B32BDA" w:rsidP="000B6DF7">
      <w:r w:rsidRPr="001776B6">
        <w:t xml:space="preserve">The NNPAS results support the conclusion that TFA intakes are likely to be low based on the concentrations of TFAs found in food. </w:t>
      </w:r>
    </w:p>
    <w:p w:rsidR="000B6DF7" w:rsidRPr="001776B6" w:rsidRDefault="000B6DF7" w:rsidP="000B6DF7"/>
    <w:p w:rsidR="00092CDA" w:rsidRDefault="000B6DF7" w:rsidP="000B6DF7">
      <w:r w:rsidRPr="00E66373">
        <w:t>The survey results should be considered with the 2013 FSANZ industry survey on the use of TFA</w:t>
      </w:r>
      <w:r w:rsidR="00D405DF">
        <w:t>s</w:t>
      </w:r>
      <w:r w:rsidRPr="00E66373">
        <w:t xml:space="preserve"> in the New Zealand and Australian food supply, and the 2014 FSANZ systematic and narrative reviews of the health effects of TFA</w:t>
      </w:r>
      <w:r w:rsidR="00D405DF">
        <w:t>s</w:t>
      </w:r>
      <w:r w:rsidRPr="00E66373">
        <w:t>.</w:t>
      </w:r>
    </w:p>
    <w:p w:rsidR="00092CDA" w:rsidRDefault="00092CDA" w:rsidP="00690206"/>
    <w:p w:rsidR="00092CDA" w:rsidRDefault="00092CDA" w:rsidP="00690206">
      <w:pPr>
        <w:sectPr w:rsidR="00092CDA" w:rsidSect="007D03EA">
          <w:headerReference w:type="default" r:id="rId10"/>
          <w:footerReference w:type="even" r:id="rId11"/>
          <w:footerReference w:type="default" r:id="rId12"/>
          <w:headerReference w:type="first" r:id="rId13"/>
          <w:pgSz w:w="11906" w:h="16838"/>
          <w:pgMar w:top="1418" w:right="1418" w:bottom="1134" w:left="1418" w:header="709" w:footer="709" w:gutter="0"/>
          <w:pgNumType w:fmt="lowerRoman" w:start="1"/>
          <w:cols w:space="708"/>
          <w:docGrid w:linePitch="360"/>
        </w:sectPr>
      </w:pPr>
    </w:p>
    <w:p w:rsidR="00562917" w:rsidRPr="00352CF2" w:rsidRDefault="00562917" w:rsidP="00690206">
      <w:pPr>
        <w:jc w:val="center"/>
        <w:rPr>
          <w:b/>
          <w:sz w:val="28"/>
          <w:szCs w:val="28"/>
        </w:rPr>
      </w:pPr>
      <w:r w:rsidRPr="00352CF2">
        <w:rPr>
          <w:b/>
          <w:sz w:val="28"/>
          <w:szCs w:val="28"/>
        </w:rPr>
        <w:lastRenderedPageBreak/>
        <w:t xml:space="preserve">Table of </w:t>
      </w:r>
      <w:r w:rsidR="00456B54" w:rsidRPr="00352CF2">
        <w:rPr>
          <w:b/>
          <w:sz w:val="28"/>
          <w:szCs w:val="28"/>
        </w:rPr>
        <w:t>C</w:t>
      </w:r>
      <w:r w:rsidRPr="00352CF2">
        <w:rPr>
          <w:b/>
          <w:sz w:val="28"/>
          <w:szCs w:val="28"/>
        </w:rPr>
        <w:t>ontents</w:t>
      </w:r>
    </w:p>
    <w:p w:rsidR="00562917" w:rsidRDefault="00562917" w:rsidP="00051ED9"/>
    <w:p w:rsidR="006E63B7" w:rsidRDefault="00E837C3">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389651996" w:history="1">
        <w:r w:rsidR="006E63B7" w:rsidRPr="00BD5D39">
          <w:rPr>
            <w:rStyle w:val="Hyperlink"/>
            <w:noProof/>
          </w:rPr>
          <w:t>Executive summary</w:t>
        </w:r>
        <w:r w:rsidR="006E63B7">
          <w:rPr>
            <w:noProof/>
            <w:webHidden/>
          </w:rPr>
          <w:tab/>
        </w:r>
        <w:r w:rsidR="006E63B7">
          <w:rPr>
            <w:noProof/>
            <w:webHidden/>
          </w:rPr>
          <w:fldChar w:fldCharType="begin"/>
        </w:r>
        <w:r w:rsidR="006E63B7">
          <w:rPr>
            <w:noProof/>
            <w:webHidden/>
          </w:rPr>
          <w:instrText xml:space="preserve"> PAGEREF _Toc389651996 \h </w:instrText>
        </w:r>
        <w:r w:rsidR="006E63B7">
          <w:rPr>
            <w:noProof/>
            <w:webHidden/>
          </w:rPr>
        </w:r>
        <w:r w:rsidR="006E63B7">
          <w:rPr>
            <w:noProof/>
            <w:webHidden/>
          </w:rPr>
          <w:fldChar w:fldCharType="separate"/>
        </w:r>
        <w:r w:rsidR="00DA24C2">
          <w:rPr>
            <w:noProof/>
            <w:webHidden/>
          </w:rPr>
          <w:t>i</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1997" w:history="1">
        <w:r w:rsidR="006E63B7" w:rsidRPr="00BD5D39">
          <w:rPr>
            <w:rStyle w:val="Hyperlink"/>
            <w:noProof/>
          </w:rPr>
          <w:t>1</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Issue</w:t>
        </w:r>
        <w:r w:rsidR="006E63B7">
          <w:rPr>
            <w:noProof/>
            <w:webHidden/>
          </w:rPr>
          <w:tab/>
        </w:r>
        <w:r w:rsidR="006E63B7">
          <w:rPr>
            <w:noProof/>
            <w:webHidden/>
          </w:rPr>
          <w:fldChar w:fldCharType="begin"/>
        </w:r>
        <w:r w:rsidR="006E63B7">
          <w:rPr>
            <w:noProof/>
            <w:webHidden/>
          </w:rPr>
          <w:instrText xml:space="preserve"> PAGEREF _Toc389651997 \h </w:instrText>
        </w:r>
        <w:r w:rsidR="006E63B7">
          <w:rPr>
            <w:noProof/>
            <w:webHidden/>
          </w:rPr>
        </w:r>
        <w:r w:rsidR="006E63B7">
          <w:rPr>
            <w:noProof/>
            <w:webHidden/>
          </w:rPr>
          <w:fldChar w:fldCharType="separate"/>
        </w:r>
        <w:r w:rsidR="00DA24C2">
          <w:rPr>
            <w:noProof/>
            <w:webHidden/>
          </w:rPr>
          <w:t>1</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1998" w:history="1">
        <w:r w:rsidR="006E63B7" w:rsidRPr="00BD5D39">
          <w:rPr>
            <w:rStyle w:val="Hyperlink"/>
            <w:noProof/>
          </w:rPr>
          <w:t>2</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Purpose of the analytical survey</w:t>
        </w:r>
        <w:r w:rsidR="006E63B7">
          <w:rPr>
            <w:noProof/>
            <w:webHidden/>
          </w:rPr>
          <w:tab/>
        </w:r>
        <w:r w:rsidR="006E63B7">
          <w:rPr>
            <w:noProof/>
            <w:webHidden/>
          </w:rPr>
          <w:fldChar w:fldCharType="begin"/>
        </w:r>
        <w:r w:rsidR="006E63B7">
          <w:rPr>
            <w:noProof/>
            <w:webHidden/>
          </w:rPr>
          <w:instrText xml:space="preserve"> PAGEREF _Toc389651998 \h </w:instrText>
        </w:r>
        <w:r w:rsidR="006E63B7">
          <w:rPr>
            <w:noProof/>
            <w:webHidden/>
          </w:rPr>
        </w:r>
        <w:r w:rsidR="006E63B7">
          <w:rPr>
            <w:noProof/>
            <w:webHidden/>
          </w:rPr>
          <w:fldChar w:fldCharType="separate"/>
        </w:r>
        <w:r w:rsidR="00DA24C2">
          <w:rPr>
            <w:noProof/>
            <w:webHidden/>
          </w:rPr>
          <w:t>1</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1999" w:history="1">
        <w:r w:rsidR="006E63B7" w:rsidRPr="00BD5D39">
          <w:rPr>
            <w:rStyle w:val="Hyperlink"/>
            <w:noProof/>
            <w:lang w:val="en-AU"/>
          </w:rPr>
          <w:t>3</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lang w:val="en-AU"/>
          </w:rPr>
          <w:t>Justification for the survey</w:t>
        </w:r>
        <w:r w:rsidR="006E63B7">
          <w:rPr>
            <w:noProof/>
            <w:webHidden/>
          </w:rPr>
          <w:tab/>
        </w:r>
        <w:r w:rsidR="006E63B7">
          <w:rPr>
            <w:noProof/>
            <w:webHidden/>
          </w:rPr>
          <w:fldChar w:fldCharType="begin"/>
        </w:r>
        <w:r w:rsidR="006E63B7">
          <w:rPr>
            <w:noProof/>
            <w:webHidden/>
          </w:rPr>
          <w:instrText xml:space="preserve"> PAGEREF _Toc389651999 \h </w:instrText>
        </w:r>
        <w:r w:rsidR="006E63B7">
          <w:rPr>
            <w:noProof/>
            <w:webHidden/>
          </w:rPr>
        </w:r>
        <w:r w:rsidR="006E63B7">
          <w:rPr>
            <w:noProof/>
            <w:webHidden/>
          </w:rPr>
          <w:fldChar w:fldCharType="separate"/>
        </w:r>
        <w:r w:rsidR="00DA24C2">
          <w:rPr>
            <w:noProof/>
            <w:webHidden/>
          </w:rPr>
          <w:t>1</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00" w:history="1">
        <w:r w:rsidR="006E63B7" w:rsidRPr="00BD5D39">
          <w:rPr>
            <w:rStyle w:val="Hyperlink"/>
            <w:noProof/>
          </w:rPr>
          <w:t>4</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A note on definitions</w:t>
        </w:r>
        <w:r w:rsidR="006E63B7">
          <w:rPr>
            <w:noProof/>
            <w:webHidden/>
          </w:rPr>
          <w:tab/>
        </w:r>
        <w:r w:rsidR="006E63B7">
          <w:rPr>
            <w:noProof/>
            <w:webHidden/>
          </w:rPr>
          <w:fldChar w:fldCharType="begin"/>
        </w:r>
        <w:r w:rsidR="006E63B7">
          <w:rPr>
            <w:noProof/>
            <w:webHidden/>
          </w:rPr>
          <w:instrText xml:space="preserve"> PAGEREF _Toc389652000 \h </w:instrText>
        </w:r>
        <w:r w:rsidR="006E63B7">
          <w:rPr>
            <w:noProof/>
            <w:webHidden/>
          </w:rPr>
        </w:r>
        <w:r w:rsidR="006E63B7">
          <w:rPr>
            <w:noProof/>
            <w:webHidden/>
          </w:rPr>
          <w:fldChar w:fldCharType="separate"/>
        </w:r>
        <w:r w:rsidR="00DA24C2">
          <w:rPr>
            <w:noProof/>
            <w:webHidden/>
          </w:rPr>
          <w:t>1</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01" w:history="1">
        <w:r w:rsidR="006E63B7" w:rsidRPr="00BD5D39">
          <w:rPr>
            <w:rStyle w:val="Hyperlink"/>
            <w:noProof/>
          </w:rPr>
          <w:t>5</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Previous FSANZ surveys</w:t>
        </w:r>
        <w:r w:rsidR="006E63B7">
          <w:rPr>
            <w:noProof/>
            <w:webHidden/>
          </w:rPr>
          <w:tab/>
        </w:r>
        <w:r w:rsidR="006E63B7">
          <w:rPr>
            <w:noProof/>
            <w:webHidden/>
          </w:rPr>
          <w:fldChar w:fldCharType="begin"/>
        </w:r>
        <w:r w:rsidR="006E63B7">
          <w:rPr>
            <w:noProof/>
            <w:webHidden/>
          </w:rPr>
          <w:instrText xml:space="preserve"> PAGEREF _Toc389652001 \h </w:instrText>
        </w:r>
        <w:r w:rsidR="006E63B7">
          <w:rPr>
            <w:noProof/>
            <w:webHidden/>
          </w:rPr>
        </w:r>
        <w:r w:rsidR="006E63B7">
          <w:rPr>
            <w:noProof/>
            <w:webHidden/>
          </w:rPr>
          <w:fldChar w:fldCharType="separate"/>
        </w:r>
        <w:r w:rsidR="00DA24C2">
          <w:rPr>
            <w:noProof/>
            <w:webHidden/>
          </w:rPr>
          <w:t>2</w:t>
        </w:r>
        <w:r w:rsidR="006E63B7">
          <w:rPr>
            <w:noProof/>
            <w:webHidden/>
          </w:rPr>
          <w:fldChar w:fldCharType="end"/>
        </w:r>
      </w:hyperlink>
    </w:p>
    <w:p w:rsidR="006E63B7" w:rsidRDefault="00A47B82">
      <w:pPr>
        <w:pStyle w:val="TOC2"/>
        <w:tabs>
          <w:tab w:val="left" w:pos="1134"/>
          <w:tab w:val="right" w:leader="dot" w:pos="9016"/>
        </w:tabs>
        <w:rPr>
          <w:rFonts w:asciiTheme="minorHAnsi" w:eastAsiaTheme="minorEastAsia" w:hAnsiTheme="minorHAnsi" w:cstheme="minorBidi"/>
          <w:smallCaps w:val="0"/>
          <w:noProof/>
          <w:sz w:val="22"/>
          <w:szCs w:val="22"/>
          <w:lang w:val="en-NZ" w:eastAsia="en-NZ" w:bidi="ar-SA"/>
        </w:rPr>
      </w:pPr>
      <w:hyperlink w:anchor="_Toc389652002" w:history="1">
        <w:r w:rsidR="006E63B7" w:rsidRPr="00BD5D39">
          <w:rPr>
            <w:rStyle w:val="Hyperlink"/>
            <w:noProof/>
          </w:rPr>
          <w:t>5.1</w:t>
        </w:r>
        <w:r w:rsidR="006E63B7">
          <w:rPr>
            <w:rFonts w:asciiTheme="minorHAnsi" w:eastAsiaTheme="minorEastAsia" w:hAnsiTheme="minorHAnsi" w:cstheme="minorBidi"/>
            <w:smallCaps w:val="0"/>
            <w:noProof/>
            <w:sz w:val="22"/>
            <w:szCs w:val="22"/>
            <w:lang w:val="en-NZ" w:eastAsia="en-NZ" w:bidi="ar-SA"/>
          </w:rPr>
          <w:tab/>
        </w:r>
        <w:r w:rsidR="006E63B7" w:rsidRPr="00BD5D39">
          <w:rPr>
            <w:rStyle w:val="Hyperlink"/>
            <w:noProof/>
          </w:rPr>
          <w:t xml:space="preserve">Review Report - </w:t>
        </w:r>
        <w:r w:rsidR="006E63B7" w:rsidRPr="00BD5D39">
          <w:rPr>
            <w:rStyle w:val="Hyperlink"/>
            <w:i/>
            <w:noProof/>
          </w:rPr>
          <w:t>Trans</w:t>
        </w:r>
        <w:r w:rsidR="006E63B7" w:rsidRPr="00BD5D39">
          <w:rPr>
            <w:rStyle w:val="Hyperlink"/>
            <w:noProof/>
          </w:rPr>
          <w:t xml:space="preserve"> fatty acids in the New Zealand and Australian food supply (FSANZ 2007)</w:t>
        </w:r>
        <w:r w:rsidR="006E63B7">
          <w:rPr>
            <w:noProof/>
            <w:webHidden/>
          </w:rPr>
          <w:tab/>
        </w:r>
        <w:r w:rsidR="006E63B7">
          <w:rPr>
            <w:noProof/>
            <w:webHidden/>
          </w:rPr>
          <w:fldChar w:fldCharType="begin"/>
        </w:r>
        <w:r w:rsidR="006E63B7">
          <w:rPr>
            <w:noProof/>
            <w:webHidden/>
          </w:rPr>
          <w:instrText xml:space="preserve"> PAGEREF _Toc389652002 \h </w:instrText>
        </w:r>
        <w:r w:rsidR="006E63B7">
          <w:rPr>
            <w:noProof/>
            <w:webHidden/>
          </w:rPr>
        </w:r>
        <w:r w:rsidR="006E63B7">
          <w:rPr>
            <w:noProof/>
            <w:webHidden/>
          </w:rPr>
          <w:fldChar w:fldCharType="separate"/>
        </w:r>
        <w:r w:rsidR="00DA24C2">
          <w:rPr>
            <w:noProof/>
            <w:webHidden/>
          </w:rPr>
          <w:t>2</w:t>
        </w:r>
        <w:r w:rsidR="006E63B7">
          <w:rPr>
            <w:noProof/>
            <w:webHidden/>
          </w:rPr>
          <w:fldChar w:fldCharType="end"/>
        </w:r>
      </w:hyperlink>
    </w:p>
    <w:p w:rsidR="006E63B7" w:rsidRDefault="00A47B82">
      <w:pPr>
        <w:pStyle w:val="TOC2"/>
        <w:tabs>
          <w:tab w:val="left" w:pos="1134"/>
          <w:tab w:val="right" w:leader="dot" w:pos="9016"/>
        </w:tabs>
        <w:rPr>
          <w:rFonts w:asciiTheme="minorHAnsi" w:eastAsiaTheme="minorEastAsia" w:hAnsiTheme="minorHAnsi" w:cstheme="minorBidi"/>
          <w:smallCaps w:val="0"/>
          <w:noProof/>
          <w:sz w:val="22"/>
          <w:szCs w:val="22"/>
          <w:lang w:val="en-NZ" w:eastAsia="en-NZ" w:bidi="ar-SA"/>
        </w:rPr>
      </w:pPr>
      <w:hyperlink w:anchor="_Toc389652003" w:history="1">
        <w:r w:rsidR="006E63B7" w:rsidRPr="00BD5D39">
          <w:rPr>
            <w:rStyle w:val="Hyperlink"/>
            <w:noProof/>
          </w:rPr>
          <w:t>5.2</w:t>
        </w:r>
        <w:r w:rsidR="006E63B7">
          <w:rPr>
            <w:rFonts w:asciiTheme="minorHAnsi" w:eastAsiaTheme="minorEastAsia" w:hAnsiTheme="minorHAnsi" w:cstheme="minorBidi"/>
            <w:smallCaps w:val="0"/>
            <w:noProof/>
            <w:sz w:val="22"/>
            <w:szCs w:val="22"/>
            <w:lang w:val="en-NZ" w:eastAsia="en-NZ" w:bidi="ar-SA"/>
          </w:rPr>
          <w:tab/>
        </w:r>
        <w:r w:rsidR="006E63B7" w:rsidRPr="00BD5D39">
          <w:rPr>
            <w:rStyle w:val="Hyperlink"/>
            <w:noProof/>
          </w:rPr>
          <w:t xml:space="preserve">Review report- </w:t>
        </w:r>
        <w:r w:rsidR="006E63B7" w:rsidRPr="00BD5D39">
          <w:rPr>
            <w:rStyle w:val="Hyperlink"/>
            <w:i/>
            <w:noProof/>
          </w:rPr>
          <w:t>Trans</w:t>
        </w:r>
        <w:r w:rsidR="006E63B7" w:rsidRPr="00BD5D39">
          <w:rPr>
            <w:rStyle w:val="Hyperlink"/>
            <w:noProof/>
          </w:rPr>
          <w:t xml:space="preserve"> fatty acids in the New Zealand and Australia food supply (FSANZ 2009)</w:t>
        </w:r>
        <w:r w:rsidR="006E63B7">
          <w:rPr>
            <w:noProof/>
            <w:webHidden/>
          </w:rPr>
          <w:tab/>
        </w:r>
        <w:r w:rsidR="006E63B7">
          <w:rPr>
            <w:noProof/>
            <w:webHidden/>
          </w:rPr>
          <w:fldChar w:fldCharType="begin"/>
        </w:r>
        <w:r w:rsidR="006E63B7">
          <w:rPr>
            <w:noProof/>
            <w:webHidden/>
          </w:rPr>
          <w:instrText xml:space="preserve"> PAGEREF _Toc389652003 \h </w:instrText>
        </w:r>
        <w:r w:rsidR="006E63B7">
          <w:rPr>
            <w:noProof/>
            <w:webHidden/>
          </w:rPr>
        </w:r>
        <w:r w:rsidR="006E63B7">
          <w:rPr>
            <w:noProof/>
            <w:webHidden/>
          </w:rPr>
          <w:fldChar w:fldCharType="separate"/>
        </w:r>
        <w:r w:rsidR="00DA24C2">
          <w:rPr>
            <w:noProof/>
            <w:webHidden/>
          </w:rPr>
          <w:t>3</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04" w:history="1">
        <w:r w:rsidR="006E63B7" w:rsidRPr="00BD5D39">
          <w:rPr>
            <w:rStyle w:val="Hyperlink"/>
            <w:noProof/>
          </w:rPr>
          <w:t>6</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Methodology</w:t>
        </w:r>
        <w:r w:rsidR="006E63B7">
          <w:rPr>
            <w:noProof/>
            <w:webHidden/>
          </w:rPr>
          <w:tab/>
        </w:r>
        <w:r w:rsidR="006E63B7">
          <w:rPr>
            <w:noProof/>
            <w:webHidden/>
          </w:rPr>
          <w:fldChar w:fldCharType="begin"/>
        </w:r>
        <w:r w:rsidR="006E63B7">
          <w:rPr>
            <w:noProof/>
            <w:webHidden/>
          </w:rPr>
          <w:instrText xml:space="preserve"> PAGEREF _Toc389652004 \h </w:instrText>
        </w:r>
        <w:r w:rsidR="006E63B7">
          <w:rPr>
            <w:noProof/>
            <w:webHidden/>
          </w:rPr>
        </w:r>
        <w:r w:rsidR="006E63B7">
          <w:rPr>
            <w:noProof/>
            <w:webHidden/>
          </w:rPr>
          <w:fldChar w:fldCharType="separate"/>
        </w:r>
        <w:r w:rsidR="00DA24C2">
          <w:rPr>
            <w:noProof/>
            <w:webHidden/>
          </w:rPr>
          <w:t>4</w:t>
        </w:r>
        <w:r w:rsidR="006E63B7">
          <w:rPr>
            <w:noProof/>
            <w:webHidden/>
          </w:rPr>
          <w:fldChar w:fldCharType="end"/>
        </w:r>
      </w:hyperlink>
    </w:p>
    <w:p w:rsidR="006E63B7" w:rsidRDefault="00A47B82">
      <w:pPr>
        <w:pStyle w:val="TOC2"/>
        <w:tabs>
          <w:tab w:val="left" w:pos="1134"/>
          <w:tab w:val="right" w:leader="dot" w:pos="9016"/>
        </w:tabs>
        <w:rPr>
          <w:rFonts w:asciiTheme="minorHAnsi" w:eastAsiaTheme="minorEastAsia" w:hAnsiTheme="minorHAnsi" w:cstheme="minorBidi"/>
          <w:smallCaps w:val="0"/>
          <w:noProof/>
          <w:sz w:val="22"/>
          <w:szCs w:val="22"/>
          <w:lang w:val="en-NZ" w:eastAsia="en-NZ" w:bidi="ar-SA"/>
        </w:rPr>
      </w:pPr>
      <w:hyperlink w:anchor="_Toc389652005" w:history="1">
        <w:r w:rsidR="006E63B7" w:rsidRPr="00BD5D39">
          <w:rPr>
            <w:rStyle w:val="Hyperlink"/>
            <w:noProof/>
          </w:rPr>
          <w:t>6.1</w:t>
        </w:r>
        <w:r w:rsidR="006E63B7">
          <w:rPr>
            <w:rFonts w:asciiTheme="minorHAnsi" w:eastAsiaTheme="minorEastAsia" w:hAnsiTheme="minorHAnsi" w:cstheme="minorBidi"/>
            <w:smallCaps w:val="0"/>
            <w:noProof/>
            <w:sz w:val="22"/>
            <w:szCs w:val="22"/>
            <w:lang w:val="en-NZ" w:eastAsia="en-NZ" w:bidi="ar-SA"/>
          </w:rPr>
          <w:tab/>
        </w:r>
        <w:r w:rsidR="006E63B7" w:rsidRPr="00BD5D39">
          <w:rPr>
            <w:rStyle w:val="Hyperlink"/>
            <w:noProof/>
          </w:rPr>
          <w:t>Sample collection</w:t>
        </w:r>
        <w:r w:rsidR="006E63B7">
          <w:rPr>
            <w:noProof/>
            <w:webHidden/>
          </w:rPr>
          <w:tab/>
        </w:r>
        <w:r w:rsidR="006E63B7">
          <w:rPr>
            <w:noProof/>
            <w:webHidden/>
          </w:rPr>
          <w:fldChar w:fldCharType="begin"/>
        </w:r>
        <w:r w:rsidR="006E63B7">
          <w:rPr>
            <w:noProof/>
            <w:webHidden/>
          </w:rPr>
          <w:instrText xml:space="preserve"> PAGEREF _Toc389652005 \h </w:instrText>
        </w:r>
        <w:r w:rsidR="006E63B7">
          <w:rPr>
            <w:noProof/>
            <w:webHidden/>
          </w:rPr>
        </w:r>
        <w:r w:rsidR="006E63B7">
          <w:rPr>
            <w:noProof/>
            <w:webHidden/>
          </w:rPr>
          <w:fldChar w:fldCharType="separate"/>
        </w:r>
        <w:r w:rsidR="00DA24C2">
          <w:rPr>
            <w:noProof/>
            <w:webHidden/>
          </w:rPr>
          <w:t>4</w:t>
        </w:r>
        <w:r w:rsidR="006E63B7">
          <w:rPr>
            <w:noProof/>
            <w:webHidden/>
          </w:rPr>
          <w:fldChar w:fldCharType="end"/>
        </w:r>
      </w:hyperlink>
    </w:p>
    <w:p w:rsidR="006E63B7" w:rsidRDefault="00A47B82">
      <w:pPr>
        <w:pStyle w:val="TOC2"/>
        <w:tabs>
          <w:tab w:val="left" w:pos="1134"/>
          <w:tab w:val="right" w:leader="dot" w:pos="9016"/>
        </w:tabs>
        <w:rPr>
          <w:rFonts w:asciiTheme="minorHAnsi" w:eastAsiaTheme="minorEastAsia" w:hAnsiTheme="minorHAnsi" w:cstheme="minorBidi"/>
          <w:smallCaps w:val="0"/>
          <w:noProof/>
          <w:sz w:val="22"/>
          <w:szCs w:val="22"/>
          <w:lang w:val="en-NZ" w:eastAsia="en-NZ" w:bidi="ar-SA"/>
        </w:rPr>
      </w:pPr>
      <w:hyperlink w:anchor="_Toc389652006" w:history="1">
        <w:r w:rsidR="006E63B7" w:rsidRPr="00BD5D39">
          <w:rPr>
            <w:rStyle w:val="Hyperlink"/>
            <w:noProof/>
          </w:rPr>
          <w:t>6.2</w:t>
        </w:r>
        <w:r w:rsidR="006E63B7">
          <w:rPr>
            <w:rFonts w:asciiTheme="minorHAnsi" w:eastAsiaTheme="minorEastAsia" w:hAnsiTheme="minorHAnsi" w:cstheme="minorBidi"/>
            <w:smallCaps w:val="0"/>
            <w:noProof/>
            <w:sz w:val="22"/>
            <w:szCs w:val="22"/>
            <w:lang w:val="en-NZ" w:eastAsia="en-NZ" w:bidi="ar-SA"/>
          </w:rPr>
          <w:tab/>
        </w:r>
        <w:r w:rsidR="006E63B7" w:rsidRPr="00BD5D39">
          <w:rPr>
            <w:rStyle w:val="Hyperlink"/>
            <w:noProof/>
          </w:rPr>
          <w:t>Method of Analysis</w:t>
        </w:r>
        <w:r w:rsidR="006E63B7">
          <w:rPr>
            <w:noProof/>
            <w:webHidden/>
          </w:rPr>
          <w:tab/>
        </w:r>
        <w:r w:rsidR="006E63B7">
          <w:rPr>
            <w:noProof/>
            <w:webHidden/>
          </w:rPr>
          <w:fldChar w:fldCharType="begin"/>
        </w:r>
        <w:r w:rsidR="006E63B7">
          <w:rPr>
            <w:noProof/>
            <w:webHidden/>
          </w:rPr>
          <w:instrText xml:space="preserve"> PAGEREF _Toc389652006 \h </w:instrText>
        </w:r>
        <w:r w:rsidR="006E63B7">
          <w:rPr>
            <w:noProof/>
            <w:webHidden/>
          </w:rPr>
        </w:r>
        <w:r w:rsidR="006E63B7">
          <w:rPr>
            <w:noProof/>
            <w:webHidden/>
          </w:rPr>
          <w:fldChar w:fldCharType="separate"/>
        </w:r>
        <w:r w:rsidR="00DA24C2">
          <w:rPr>
            <w:noProof/>
            <w:webHidden/>
          </w:rPr>
          <w:t>7</w:t>
        </w:r>
        <w:r w:rsidR="006E63B7">
          <w:rPr>
            <w:noProof/>
            <w:webHidden/>
          </w:rPr>
          <w:fldChar w:fldCharType="end"/>
        </w:r>
      </w:hyperlink>
    </w:p>
    <w:p w:rsidR="006E63B7" w:rsidRDefault="00A47B82">
      <w:pPr>
        <w:pStyle w:val="TOC2"/>
        <w:tabs>
          <w:tab w:val="left" w:pos="1134"/>
          <w:tab w:val="right" w:leader="dot" w:pos="9016"/>
        </w:tabs>
        <w:rPr>
          <w:rFonts w:asciiTheme="minorHAnsi" w:eastAsiaTheme="minorEastAsia" w:hAnsiTheme="minorHAnsi" w:cstheme="minorBidi"/>
          <w:smallCaps w:val="0"/>
          <w:noProof/>
          <w:sz w:val="22"/>
          <w:szCs w:val="22"/>
          <w:lang w:val="en-NZ" w:eastAsia="en-NZ" w:bidi="ar-SA"/>
        </w:rPr>
      </w:pPr>
      <w:hyperlink w:anchor="_Toc389652007" w:history="1">
        <w:r w:rsidR="006E63B7" w:rsidRPr="00BD5D39">
          <w:rPr>
            <w:rStyle w:val="Hyperlink"/>
            <w:noProof/>
          </w:rPr>
          <w:t>6.3</w:t>
        </w:r>
        <w:r w:rsidR="006E63B7">
          <w:rPr>
            <w:rFonts w:asciiTheme="minorHAnsi" w:eastAsiaTheme="minorEastAsia" w:hAnsiTheme="minorHAnsi" w:cstheme="minorBidi"/>
            <w:smallCaps w:val="0"/>
            <w:noProof/>
            <w:sz w:val="22"/>
            <w:szCs w:val="22"/>
            <w:lang w:val="en-NZ" w:eastAsia="en-NZ" w:bidi="ar-SA"/>
          </w:rPr>
          <w:tab/>
        </w:r>
        <w:r w:rsidR="006E63B7" w:rsidRPr="00BD5D39">
          <w:rPr>
            <w:rStyle w:val="Hyperlink"/>
            <w:noProof/>
          </w:rPr>
          <w:t>Statistical analyses</w:t>
        </w:r>
        <w:r w:rsidR="006E63B7">
          <w:rPr>
            <w:noProof/>
            <w:webHidden/>
          </w:rPr>
          <w:tab/>
        </w:r>
        <w:r w:rsidR="006E63B7">
          <w:rPr>
            <w:noProof/>
            <w:webHidden/>
          </w:rPr>
          <w:fldChar w:fldCharType="begin"/>
        </w:r>
        <w:r w:rsidR="006E63B7">
          <w:rPr>
            <w:noProof/>
            <w:webHidden/>
          </w:rPr>
          <w:instrText xml:space="preserve"> PAGEREF _Toc389652007 \h </w:instrText>
        </w:r>
        <w:r w:rsidR="006E63B7">
          <w:rPr>
            <w:noProof/>
            <w:webHidden/>
          </w:rPr>
        </w:r>
        <w:r w:rsidR="006E63B7">
          <w:rPr>
            <w:noProof/>
            <w:webHidden/>
          </w:rPr>
          <w:fldChar w:fldCharType="separate"/>
        </w:r>
        <w:r w:rsidR="00DA24C2">
          <w:rPr>
            <w:noProof/>
            <w:webHidden/>
          </w:rPr>
          <w:t>7</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08" w:history="1">
        <w:r w:rsidR="006E63B7" w:rsidRPr="00BD5D39">
          <w:rPr>
            <w:rStyle w:val="Hyperlink"/>
            <w:noProof/>
          </w:rPr>
          <w:t>7</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Analytical results</w:t>
        </w:r>
        <w:r w:rsidR="006E63B7">
          <w:rPr>
            <w:noProof/>
            <w:webHidden/>
          </w:rPr>
          <w:tab/>
        </w:r>
        <w:r w:rsidR="006E63B7">
          <w:rPr>
            <w:noProof/>
            <w:webHidden/>
          </w:rPr>
          <w:fldChar w:fldCharType="begin"/>
        </w:r>
        <w:r w:rsidR="006E63B7">
          <w:rPr>
            <w:noProof/>
            <w:webHidden/>
          </w:rPr>
          <w:instrText xml:space="preserve"> PAGEREF _Toc389652008 \h </w:instrText>
        </w:r>
        <w:r w:rsidR="006E63B7">
          <w:rPr>
            <w:noProof/>
            <w:webHidden/>
          </w:rPr>
        </w:r>
        <w:r w:rsidR="006E63B7">
          <w:rPr>
            <w:noProof/>
            <w:webHidden/>
          </w:rPr>
          <w:fldChar w:fldCharType="separate"/>
        </w:r>
        <w:r w:rsidR="00DA24C2">
          <w:rPr>
            <w:noProof/>
            <w:webHidden/>
          </w:rPr>
          <w:t>8</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09" w:history="1">
        <w:r w:rsidR="006E63B7" w:rsidRPr="00BD5D39">
          <w:rPr>
            <w:rStyle w:val="Hyperlink"/>
            <w:noProof/>
          </w:rPr>
          <w:t xml:space="preserve">8 </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Comparison of TFA concentrations with those from previous surveys</w:t>
        </w:r>
        <w:r w:rsidR="006E63B7">
          <w:rPr>
            <w:noProof/>
            <w:webHidden/>
          </w:rPr>
          <w:tab/>
        </w:r>
        <w:r w:rsidR="006E63B7">
          <w:rPr>
            <w:noProof/>
            <w:webHidden/>
          </w:rPr>
          <w:fldChar w:fldCharType="begin"/>
        </w:r>
        <w:r w:rsidR="006E63B7">
          <w:rPr>
            <w:noProof/>
            <w:webHidden/>
          </w:rPr>
          <w:instrText xml:space="preserve"> PAGEREF _Toc389652009 \h </w:instrText>
        </w:r>
        <w:r w:rsidR="006E63B7">
          <w:rPr>
            <w:noProof/>
            <w:webHidden/>
          </w:rPr>
        </w:r>
        <w:r w:rsidR="006E63B7">
          <w:rPr>
            <w:noProof/>
            <w:webHidden/>
          </w:rPr>
          <w:fldChar w:fldCharType="separate"/>
        </w:r>
        <w:r w:rsidR="00DA24C2">
          <w:rPr>
            <w:noProof/>
            <w:webHidden/>
          </w:rPr>
          <w:t>10</w:t>
        </w:r>
        <w:r w:rsidR="006E63B7">
          <w:rPr>
            <w:noProof/>
            <w:webHidden/>
          </w:rPr>
          <w:fldChar w:fldCharType="end"/>
        </w:r>
      </w:hyperlink>
    </w:p>
    <w:p w:rsidR="006E63B7" w:rsidRDefault="00A47B82">
      <w:pPr>
        <w:pStyle w:val="TOC2"/>
        <w:tabs>
          <w:tab w:val="left" w:pos="1134"/>
          <w:tab w:val="right" w:leader="dot" w:pos="9016"/>
        </w:tabs>
        <w:rPr>
          <w:rFonts w:asciiTheme="minorHAnsi" w:eastAsiaTheme="minorEastAsia" w:hAnsiTheme="minorHAnsi" w:cstheme="minorBidi"/>
          <w:smallCaps w:val="0"/>
          <w:noProof/>
          <w:sz w:val="22"/>
          <w:szCs w:val="22"/>
          <w:lang w:val="en-NZ" w:eastAsia="en-NZ" w:bidi="ar-SA"/>
        </w:rPr>
      </w:pPr>
      <w:hyperlink w:anchor="_Toc389652010" w:history="1">
        <w:r w:rsidR="006E63B7" w:rsidRPr="00BD5D39">
          <w:rPr>
            <w:rStyle w:val="Hyperlink"/>
            <w:noProof/>
          </w:rPr>
          <w:t>8.1</w:t>
        </w:r>
        <w:r w:rsidR="006E63B7">
          <w:rPr>
            <w:rFonts w:asciiTheme="minorHAnsi" w:eastAsiaTheme="minorEastAsia" w:hAnsiTheme="minorHAnsi" w:cstheme="minorBidi"/>
            <w:smallCaps w:val="0"/>
            <w:noProof/>
            <w:sz w:val="22"/>
            <w:szCs w:val="22"/>
            <w:lang w:val="en-NZ" w:eastAsia="en-NZ" w:bidi="ar-SA"/>
          </w:rPr>
          <w:tab/>
        </w:r>
        <w:r w:rsidR="006E63B7" w:rsidRPr="00BD5D39">
          <w:rPr>
            <w:rStyle w:val="Hyperlink"/>
            <w:noProof/>
          </w:rPr>
          <w:t>Change in TFA concentrations in selected product categories from 2008/09 to 2013</w:t>
        </w:r>
        <w:r w:rsidR="006E63B7">
          <w:rPr>
            <w:noProof/>
            <w:webHidden/>
          </w:rPr>
          <w:tab/>
        </w:r>
        <w:r w:rsidR="006E63B7">
          <w:rPr>
            <w:noProof/>
            <w:webHidden/>
          </w:rPr>
          <w:fldChar w:fldCharType="begin"/>
        </w:r>
        <w:r w:rsidR="006E63B7">
          <w:rPr>
            <w:noProof/>
            <w:webHidden/>
          </w:rPr>
          <w:instrText xml:space="preserve"> PAGEREF _Toc389652010 \h </w:instrText>
        </w:r>
        <w:r w:rsidR="006E63B7">
          <w:rPr>
            <w:noProof/>
            <w:webHidden/>
          </w:rPr>
        </w:r>
        <w:r w:rsidR="006E63B7">
          <w:rPr>
            <w:noProof/>
            <w:webHidden/>
          </w:rPr>
          <w:fldChar w:fldCharType="separate"/>
        </w:r>
        <w:r w:rsidR="00DA24C2">
          <w:rPr>
            <w:noProof/>
            <w:webHidden/>
          </w:rPr>
          <w:t>10</w:t>
        </w:r>
        <w:r w:rsidR="006E63B7">
          <w:rPr>
            <w:noProof/>
            <w:webHidden/>
          </w:rPr>
          <w:fldChar w:fldCharType="end"/>
        </w:r>
      </w:hyperlink>
    </w:p>
    <w:p w:rsidR="006E63B7" w:rsidRDefault="00A47B82">
      <w:pPr>
        <w:pStyle w:val="TOC2"/>
        <w:tabs>
          <w:tab w:val="left" w:pos="1134"/>
          <w:tab w:val="right" w:leader="dot" w:pos="9016"/>
        </w:tabs>
        <w:rPr>
          <w:rFonts w:asciiTheme="minorHAnsi" w:eastAsiaTheme="minorEastAsia" w:hAnsiTheme="minorHAnsi" w:cstheme="minorBidi"/>
          <w:smallCaps w:val="0"/>
          <w:noProof/>
          <w:sz w:val="22"/>
          <w:szCs w:val="22"/>
          <w:lang w:val="en-NZ" w:eastAsia="en-NZ" w:bidi="ar-SA"/>
        </w:rPr>
      </w:pPr>
      <w:hyperlink w:anchor="_Toc389652011" w:history="1">
        <w:r w:rsidR="006E63B7" w:rsidRPr="00BD5D39">
          <w:rPr>
            <w:rStyle w:val="Hyperlink"/>
            <w:noProof/>
          </w:rPr>
          <w:t>8.2</w:t>
        </w:r>
        <w:r w:rsidR="006E63B7">
          <w:rPr>
            <w:rFonts w:asciiTheme="minorHAnsi" w:eastAsiaTheme="minorEastAsia" w:hAnsiTheme="minorHAnsi" w:cstheme="minorBidi"/>
            <w:smallCaps w:val="0"/>
            <w:noProof/>
            <w:sz w:val="22"/>
            <w:szCs w:val="22"/>
            <w:lang w:val="en-NZ" w:eastAsia="en-NZ" w:bidi="ar-SA"/>
          </w:rPr>
          <w:tab/>
        </w:r>
        <w:r w:rsidR="006E63B7" w:rsidRPr="00BD5D39">
          <w:rPr>
            <w:rStyle w:val="Hyperlink"/>
            <w:noProof/>
          </w:rPr>
          <w:t>Change in total TFA concentrations for selected food products from 2008/09 to 2013</w:t>
        </w:r>
        <w:r w:rsidR="006E63B7">
          <w:rPr>
            <w:noProof/>
            <w:webHidden/>
          </w:rPr>
          <w:tab/>
        </w:r>
        <w:r w:rsidR="006E63B7">
          <w:rPr>
            <w:noProof/>
            <w:webHidden/>
          </w:rPr>
          <w:fldChar w:fldCharType="begin"/>
        </w:r>
        <w:r w:rsidR="006E63B7">
          <w:rPr>
            <w:noProof/>
            <w:webHidden/>
          </w:rPr>
          <w:instrText xml:space="preserve"> PAGEREF _Toc389652011 \h </w:instrText>
        </w:r>
        <w:r w:rsidR="006E63B7">
          <w:rPr>
            <w:noProof/>
            <w:webHidden/>
          </w:rPr>
        </w:r>
        <w:r w:rsidR="006E63B7">
          <w:rPr>
            <w:noProof/>
            <w:webHidden/>
          </w:rPr>
          <w:fldChar w:fldCharType="separate"/>
        </w:r>
        <w:r w:rsidR="00DA24C2">
          <w:rPr>
            <w:noProof/>
            <w:webHidden/>
          </w:rPr>
          <w:t>14</w:t>
        </w:r>
        <w:r w:rsidR="006E63B7">
          <w:rPr>
            <w:noProof/>
            <w:webHidden/>
          </w:rPr>
          <w:fldChar w:fldCharType="end"/>
        </w:r>
      </w:hyperlink>
    </w:p>
    <w:p w:rsidR="006E63B7" w:rsidRDefault="00A47B82">
      <w:pPr>
        <w:pStyle w:val="TOC2"/>
        <w:tabs>
          <w:tab w:val="left" w:pos="1134"/>
          <w:tab w:val="right" w:leader="dot" w:pos="9016"/>
        </w:tabs>
        <w:rPr>
          <w:rFonts w:asciiTheme="minorHAnsi" w:eastAsiaTheme="minorEastAsia" w:hAnsiTheme="minorHAnsi" w:cstheme="minorBidi"/>
          <w:smallCaps w:val="0"/>
          <w:noProof/>
          <w:sz w:val="22"/>
          <w:szCs w:val="22"/>
          <w:lang w:val="en-NZ" w:eastAsia="en-NZ" w:bidi="ar-SA"/>
        </w:rPr>
      </w:pPr>
      <w:hyperlink w:anchor="_Toc389652012" w:history="1">
        <w:r w:rsidR="006E63B7" w:rsidRPr="00BD5D39">
          <w:rPr>
            <w:rStyle w:val="Hyperlink"/>
            <w:noProof/>
            <w:lang w:eastAsia="en-GB"/>
          </w:rPr>
          <w:t>8.3</w:t>
        </w:r>
        <w:r w:rsidR="006E63B7">
          <w:rPr>
            <w:rFonts w:asciiTheme="minorHAnsi" w:eastAsiaTheme="minorEastAsia" w:hAnsiTheme="minorHAnsi" w:cstheme="minorBidi"/>
            <w:smallCaps w:val="0"/>
            <w:noProof/>
            <w:sz w:val="22"/>
            <w:szCs w:val="22"/>
            <w:lang w:val="en-NZ" w:eastAsia="en-NZ" w:bidi="ar-SA"/>
          </w:rPr>
          <w:tab/>
        </w:r>
        <w:r w:rsidR="006E63B7" w:rsidRPr="00BD5D39">
          <w:rPr>
            <w:rStyle w:val="Hyperlink"/>
            <w:noProof/>
            <w:lang w:eastAsia="en-GB"/>
          </w:rPr>
          <w:t>Comparison of TFA concentrations in selected product categories with pre-2008/09 levels</w:t>
        </w:r>
        <w:r w:rsidR="006E63B7">
          <w:rPr>
            <w:noProof/>
            <w:webHidden/>
          </w:rPr>
          <w:tab/>
        </w:r>
        <w:r w:rsidR="006E63B7">
          <w:rPr>
            <w:noProof/>
            <w:webHidden/>
          </w:rPr>
          <w:fldChar w:fldCharType="begin"/>
        </w:r>
        <w:r w:rsidR="006E63B7">
          <w:rPr>
            <w:noProof/>
            <w:webHidden/>
          </w:rPr>
          <w:instrText xml:space="preserve"> PAGEREF _Toc389652012 \h </w:instrText>
        </w:r>
        <w:r w:rsidR="006E63B7">
          <w:rPr>
            <w:noProof/>
            <w:webHidden/>
          </w:rPr>
        </w:r>
        <w:r w:rsidR="006E63B7">
          <w:rPr>
            <w:noProof/>
            <w:webHidden/>
          </w:rPr>
          <w:fldChar w:fldCharType="separate"/>
        </w:r>
        <w:r w:rsidR="00DA24C2">
          <w:rPr>
            <w:noProof/>
            <w:webHidden/>
          </w:rPr>
          <w:t>16</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13" w:history="1">
        <w:r w:rsidR="006E63B7" w:rsidRPr="00BD5D39">
          <w:rPr>
            <w:rStyle w:val="Hyperlink"/>
            <w:noProof/>
          </w:rPr>
          <w:t>9</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Comparison</w:t>
        </w:r>
        <w:r w:rsidR="006E63B7" w:rsidRPr="00BD5D39">
          <w:rPr>
            <w:rStyle w:val="Hyperlink"/>
            <w:noProof/>
            <w:lang w:eastAsia="en-AU"/>
          </w:rPr>
          <w:t xml:space="preserve"> to the Danish maximum level of TFAs</w:t>
        </w:r>
        <w:r w:rsidR="006E63B7">
          <w:rPr>
            <w:noProof/>
            <w:webHidden/>
          </w:rPr>
          <w:tab/>
        </w:r>
        <w:r w:rsidR="006E63B7">
          <w:rPr>
            <w:noProof/>
            <w:webHidden/>
          </w:rPr>
          <w:fldChar w:fldCharType="begin"/>
        </w:r>
        <w:r w:rsidR="006E63B7">
          <w:rPr>
            <w:noProof/>
            <w:webHidden/>
          </w:rPr>
          <w:instrText xml:space="preserve"> PAGEREF _Toc389652013 \h </w:instrText>
        </w:r>
        <w:r w:rsidR="006E63B7">
          <w:rPr>
            <w:noProof/>
            <w:webHidden/>
          </w:rPr>
        </w:r>
        <w:r w:rsidR="006E63B7">
          <w:rPr>
            <w:noProof/>
            <w:webHidden/>
          </w:rPr>
          <w:fldChar w:fldCharType="separate"/>
        </w:r>
        <w:r w:rsidR="00DA24C2">
          <w:rPr>
            <w:noProof/>
            <w:webHidden/>
          </w:rPr>
          <w:t>18</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14" w:history="1">
        <w:r w:rsidR="006E63B7" w:rsidRPr="00BD5D39">
          <w:rPr>
            <w:rStyle w:val="Hyperlink"/>
            <w:noProof/>
            <w:lang w:eastAsia="en-GB"/>
          </w:rPr>
          <w:t>10</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lang w:eastAsia="en-GB"/>
          </w:rPr>
          <w:t>Saturated fatty acids</w:t>
        </w:r>
        <w:r w:rsidR="006E63B7">
          <w:rPr>
            <w:noProof/>
            <w:webHidden/>
          </w:rPr>
          <w:tab/>
        </w:r>
        <w:r w:rsidR="006E63B7">
          <w:rPr>
            <w:noProof/>
            <w:webHidden/>
          </w:rPr>
          <w:fldChar w:fldCharType="begin"/>
        </w:r>
        <w:r w:rsidR="006E63B7">
          <w:rPr>
            <w:noProof/>
            <w:webHidden/>
          </w:rPr>
          <w:instrText xml:space="preserve"> PAGEREF _Toc389652014 \h </w:instrText>
        </w:r>
        <w:r w:rsidR="006E63B7">
          <w:rPr>
            <w:noProof/>
            <w:webHidden/>
          </w:rPr>
        </w:r>
        <w:r w:rsidR="006E63B7">
          <w:rPr>
            <w:noProof/>
            <w:webHidden/>
          </w:rPr>
          <w:fldChar w:fldCharType="separate"/>
        </w:r>
        <w:r w:rsidR="00DA24C2">
          <w:rPr>
            <w:noProof/>
            <w:webHidden/>
          </w:rPr>
          <w:t>19</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15" w:history="1">
        <w:r w:rsidR="006E63B7" w:rsidRPr="00BD5D39">
          <w:rPr>
            <w:rStyle w:val="Hyperlink"/>
            <w:noProof/>
          </w:rPr>
          <w:t>11</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Considerations</w:t>
        </w:r>
        <w:r w:rsidR="006E63B7" w:rsidRPr="00BD5D39">
          <w:rPr>
            <w:rStyle w:val="Hyperlink"/>
            <w:noProof/>
            <w:lang w:eastAsia="en-GB"/>
          </w:rPr>
          <w:t xml:space="preserve"> relevant to the need for an updated estimated dietary intake assessment</w:t>
        </w:r>
        <w:r w:rsidR="006E63B7">
          <w:rPr>
            <w:noProof/>
            <w:webHidden/>
          </w:rPr>
          <w:tab/>
        </w:r>
        <w:r w:rsidR="006E63B7">
          <w:rPr>
            <w:noProof/>
            <w:webHidden/>
          </w:rPr>
          <w:fldChar w:fldCharType="begin"/>
        </w:r>
        <w:r w:rsidR="006E63B7">
          <w:rPr>
            <w:noProof/>
            <w:webHidden/>
          </w:rPr>
          <w:instrText xml:space="preserve"> PAGEREF _Toc389652015 \h </w:instrText>
        </w:r>
        <w:r w:rsidR="006E63B7">
          <w:rPr>
            <w:noProof/>
            <w:webHidden/>
          </w:rPr>
        </w:r>
        <w:r w:rsidR="006E63B7">
          <w:rPr>
            <w:noProof/>
            <w:webHidden/>
          </w:rPr>
          <w:fldChar w:fldCharType="separate"/>
        </w:r>
        <w:r w:rsidR="00DA24C2">
          <w:rPr>
            <w:noProof/>
            <w:webHidden/>
          </w:rPr>
          <w:t>24</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16" w:history="1">
        <w:r w:rsidR="006E63B7" w:rsidRPr="00BD5D39">
          <w:rPr>
            <w:rStyle w:val="Hyperlink"/>
            <w:noProof/>
          </w:rPr>
          <w:t>12</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Uncertainty</w:t>
        </w:r>
        <w:r w:rsidR="006E63B7">
          <w:rPr>
            <w:noProof/>
            <w:webHidden/>
          </w:rPr>
          <w:tab/>
        </w:r>
        <w:r w:rsidR="006E63B7">
          <w:rPr>
            <w:noProof/>
            <w:webHidden/>
          </w:rPr>
          <w:fldChar w:fldCharType="begin"/>
        </w:r>
        <w:r w:rsidR="006E63B7">
          <w:rPr>
            <w:noProof/>
            <w:webHidden/>
          </w:rPr>
          <w:instrText xml:space="preserve"> PAGEREF _Toc389652016 \h </w:instrText>
        </w:r>
        <w:r w:rsidR="006E63B7">
          <w:rPr>
            <w:noProof/>
            <w:webHidden/>
          </w:rPr>
        </w:r>
        <w:r w:rsidR="006E63B7">
          <w:rPr>
            <w:noProof/>
            <w:webHidden/>
          </w:rPr>
          <w:fldChar w:fldCharType="separate"/>
        </w:r>
        <w:r w:rsidR="00DA24C2">
          <w:rPr>
            <w:noProof/>
            <w:webHidden/>
          </w:rPr>
          <w:t>24</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17" w:history="1">
        <w:r w:rsidR="006E63B7" w:rsidRPr="00BD5D39">
          <w:rPr>
            <w:rStyle w:val="Hyperlink"/>
            <w:noProof/>
          </w:rPr>
          <w:t>13</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Conclusions</w:t>
        </w:r>
        <w:r w:rsidR="006E63B7">
          <w:rPr>
            <w:noProof/>
            <w:webHidden/>
          </w:rPr>
          <w:tab/>
        </w:r>
        <w:r w:rsidR="006E63B7">
          <w:rPr>
            <w:noProof/>
            <w:webHidden/>
          </w:rPr>
          <w:fldChar w:fldCharType="begin"/>
        </w:r>
        <w:r w:rsidR="006E63B7">
          <w:rPr>
            <w:noProof/>
            <w:webHidden/>
          </w:rPr>
          <w:instrText xml:space="preserve"> PAGEREF _Toc389652017 \h </w:instrText>
        </w:r>
        <w:r w:rsidR="006E63B7">
          <w:rPr>
            <w:noProof/>
            <w:webHidden/>
          </w:rPr>
        </w:r>
        <w:r w:rsidR="006E63B7">
          <w:rPr>
            <w:noProof/>
            <w:webHidden/>
          </w:rPr>
          <w:fldChar w:fldCharType="separate"/>
        </w:r>
        <w:r w:rsidR="00DA24C2">
          <w:rPr>
            <w:noProof/>
            <w:webHidden/>
          </w:rPr>
          <w:t>25</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18" w:history="1">
        <w:r w:rsidR="006E63B7" w:rsidRPr="00BD5D39">
          <w:rPr>
            <w:rStyle w:val="Hyperlink"/>
            <w:noProof/>
          </w:rPr>
          <w:t>14</w:t>
        </w:r>
        <w:r w:rsidR="006E63B7">
          <w:rPr>
            <w:rFonts w:asciiTheme="minorHAnsi" w:eastAsiaTheme="minorEastAsia" w:hAnsiTheme="minorHAnsi" w:cstheme="minorBidi"/>
            <w:b w:val="0"/>
            <w:bCs w:val="0"/>
            <w:caps w:val="0"/>
            <w:noProof/>
            <w:sz w:val="22"/>
            <w:szCs w:val="22"/>
            <w:lang w:val="en-NZ" w:eastAsia="en-NZ" w:bidi="ar-SA"/>
          </w:rPr>
          <w:tab/>
        </w:r>
        <w:r w:rsidR="006E63B7" w:rsidRPr="00BD5D39">
          <w:rPr>
            <w:rStyle w:val="Hyperlink"/>
            <w:noProof/>
          </w:rPr>
          <w:t>References</w:t>
        </w:r>
        <w:r w:rsidR="006E63B7">
          <w:rPr>
            <w:noProof/>
            <w:webHidden/>
          </w:rPr>
          <w:tab/>
        </w:r>
        <w:r w:rsidR="006E63B7">
          <w:rPr>
            <w:noProof/>
            <w:webHidden/>
          </w:rPr>
          <w:fldChar w:fldCharType="begin"/>
        </w:r>
        <w:r w:rsidR="006E63B7">
          <w:rPr>
            <w:noProof/>
            <w:webHidden/>
          </w:rPr>
          <w:instrText xml:space="preserve"> PAGEREF _Toc389652018 \h </w:instrText>
        </w:r>
        <w:r w:rsidR="006E63B7">
          <w:rPr>
            <w:noProof/>
            <w:webHidden/>
          </w:rPr>
        </w:r>
        <w:r w:rsidR="006E63B7">
          <w:rPr>
            <w:noProof/>
            <w:webHidden/>
          </w:rPr>
          <w:fldChar w:fldCharType="separate"/>
        </w:r>
        <w:r w:rsidR="00DA24C2">
          <w:rPr>
            <w:noProof/>
            <w:webHidden/>
          </w:rPr>
          <w:t>26</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19" w:history="1">
        <w:r w:rsidR="006E63B7" w:rsidRPr="00BD5D39">
          <w:rPr>
            <w:rStyle w:val="Hyperlink"/>
            <w:noProof/>
          </w:rPr>
          <w:t xml:space="preserve">Appendix 1 </w:t>
        </w:r>
        <w:r w:rsidR="006E63B7" w:rsidRPr="00BD5D39">
          <w:rPr>
            <w:rStyle w:val="Hyperlink"/>
            <w:rFonts w:cs="Arial"/>
            <w:noProof/>
          </w:rPr>
          <w:t>Chemistry and occurrence of fatty acids in foods</w:t>
        </w:r>
        <w:r w:rsidR="006E63B7">
          <w:rPr>
            <w:noProof/>
            <w:webHidden/>
          </w:rPr>
          <w:tab/>
        </w:r>
        <w:r w:rsidR="006E63B7">
          <w:rPr>
            <w:noProof/>
            <w:webHidden/>
          </w:rPr>
          <w:fldChar w:fldCharType="begin"/>
        </w:r>
        <w:r w:rsidR="006E63B7">
          <w:rPr>
            <w:noProof/>
            <w:webHidden/>
          </w:rPr>
          <w:instrText xml:space="preserve"> PAGEREF _Toc389652019 \h </w:instrText>
        </w:r>
        <w:r w:rsidR="006E63B7">
          <w:rPr>
            <w:noProof/>
            <w:webHidden/>
          </w:rPr>
        </w:r>
        <w:r w:rsidR="006E63B7">
          <w:rPr>
            <w:noProof/>
            <w:webHidden/>
          </w:rPr>
          <w:fldChar w:fldCharType="separate"/>
        </w:r>
        <w:r w:rsidR="00DA24C2">
          <w:rPr>
            <w:noProof/>
            <w:webHidden/>
          </w:rPr>
          <w:t>27</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20" w:history="1">
        <w:r w:rsidR="006E63B7" w:rsidRPr="00BD5D39">
          <w:rPr>
            <w:rStyle w:val="Hyperlink"/>
            <w:noProof/>
          </w:rPr>
          <w:t>Appendix 2 Inter-laboratory results</w:t>
        </w:r>
        <w:r w:rsidR="006E63B7">
          <w:rPr>
            <w:noProof/>
            <w:webHidden/>
          </w:rPr>
          <w:tab/>
        </w:r>
        <w:r w:rsidR="006E63B7">
          <w:rPr>
            <w:noProof/>
            <w:webHidden/>
          </w:rPr>
          <w:fldChar w:fldCharType="begin"/>
        </w:r>
        <w:r w:rsidR="006E63B7">
          <w:rPr>
            <w:noProof/>
            <w:webHidden/>
          </w:rPr>
          <w:instrText xml:space="preserve"> PAGEREF _Toc389652020 \h </w:instrText>
        </w:r>
        <w:r w:rsidR="006E63B7">
          <w:rPr>
            <w:noProof/>
            <w:webHidden/>
          </w:rPr>
        </w:r>
        <w:r w:rsidR="006E63B7">
          <w:rPr>
            <w:noProof/>
            <w:webHidden/>
          </w:rPr>
          <w:fldChar w:fldCharType="separate"/>
        </w:r>
        <w:r w:rsidR="00DA24C2">
          <w:rPr>
            <w:noProof/>
            <w:webHidden/>
          </w:rPr>
          <w:t>31</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21" w:history="1">
        <w:r w:rsidR="006E63B7" w:rsidRPr="00BD5D39">
          <w:rPr>
            <w:rStyle w:val="Hyperlink"/>
            <w:noProof/>
          </w:rPr>
          <w:t>Appendix 3 Individual analytical results</w:t>
        </w:r>
        <w:r w:rsidR="006E63B7">
          <w:rPr>
            <w:noProof/>
            <w:webHidden/>
          </w:rPr>
          <w:tab/>
        </w:r>
        <w:r w:rsidR="006E63B7">
          <w:rPr>
            <w:noProof/>
            <w:webHidden/>
          </w:rPr>
          <w:fldChar w:fldCharType="begin"/>
        </w:r>
        <w:r w:rsidR="006E63B7">
          <w:rPr>
            <w:noProof/>
            <w:webHidden/>
          </w:rPr>
          <w:instrText xml:space="preserve"> PAGEREF _Toc389652021 \h </w:instrText>
        </w:r>
        <w:r w:rsidR="006E63B7">
          <w:rPr>
            <w:noProof/>
            <w:webHidden/>
          </w:rPr>
        </w:r>
        <w:r w:rsidR="006E63B7">
          <w:rPr>
            <w:noProof/>
            <w:webHidden/>
          </w:rPr>
          <w:fldChar w:fldCharType="separate"/>
        </w:r>
        <w:r w:rsidR="00DA24C2">
          <w:rPr>
            <w:noProof/>
            <w:webHidden/>
          </w:rPr>
          <w:t>34</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22" w:history="1">
        <w:r w:rsidR="006E63B7" w:rsidRPr="00BD5D39">
          <w:rPr>
            <w:rStyle w:val="Hyperlink"/>
            <w:noProof/>
            <w:lang w:eastAsia="en-GB"/>
          </w:rPr>
          <w:t>Appendix 4 Summary of total TFA concentrations in 2005-07, 2008/09 and 2013 surveys</w:t>
        </w:r>
        <w:r w:rsidR="006E63B7">
          <w:rPr>
            <w:noProof/>
            <w:webHidden/>
          </w:rPr>
          <w:tab/>
        </w:r>
        <w:r w:rsidR="006E63B7">
          <w:rPr>
            <w:noProof/>
            <w:webHidden/>
          </w:rPr>
          <w:fldChar w:fldCharType="begin"/>
        </w:r>
        <w:r w:rsidR="006E63B7">
          <w:rPr>
            <w:noProof/>
            <w:webHidden/>
          </w:rPr>
          <w:instrText xml:space="preserve"> PAGEREF _Toc389652022 \h </w:instrText>
        </w:r>
        <w:r w:rsidR="006E63B7">
          <w:rPr>
            <w:noProof/>
            <w:webHidden/>
          </w:rPr>
        </w:r>
        <w:r w:rsidR="006E63B7">
          <w:rPr>
            <w:noProof/>
            <w:webHidden/>
          </w:rPr>
          <w:fldChar w:fldCharType="separate"/>
        </w:r>
        <w:r w:rsidR="00DA24C2">
          <w:rPr>
            <w:noProof/>
            <w:webHidden/>
          </w:rPr>
          <w:t>47</w:t>
        </w:r>
        <w:r w:rsidR="006E63B7">
          <w:rPr>
            <w:noProof/>
            <w:webHidden/>
          </w:rPr>
          <w:fldChar w:fldCharType="end"/>
        </w:r>
      </w:hyperlink>
    </w:p>
    <w:p w:rsidR="006E63B7" w:rsidRDefault="00A47B82">
      <w:pPr>
        <w:pStyle w:val="TOC1"/>
        <w:tabs>
          <w:tab w:val="right" w:leader="dot" w:pos="9016"/>
        </w:tabs>
        <w:rPr>
          <w:rFonts w:asciiTheme="minorHAnsi" w:eastAsiaTheme="minorEastAsia" w:hAnsiTheme="minorHAnsi" w:cstheme="minorBidi"/>
          <w:b w:val="0"/>
          <w:bCs w:val="0"/>
          <w:caps w:val="0"/>
          <w:noProof/>
          <w:sz w:val="22"/>
          <w:szCs w:val="22"/>
          <w:lang w:val="en-NZ" w:eastAsia="en-NZ" w:bidi="ar-SA"/>
        </w:rPr>
      </w:pPr>
      <w:hyperlink w:anchor="_Toc389652023" w:history="1">
        <w:r w:rsidR="006E63B7" w:rsidRPr="00BD5D39">
          <w:rPr>
            <w:rStyle w:val="Hyperlink"/>
            <w:noProof/>
          </w:rPr>
          <w:t xml:space="preserve">Appendix 5 </w:t>
        </w:r>
        <w:r w:rsidR="006E63B7" w:rsidRPr="00BD5D39">
          <w:rPr>
            <w:rStyle w:val="Hyperlink"/>
            <w:noProof/>
            <w:lang w:eastAsia="en-AU"/>
          </w:rPr>
          <w:t>Comparison of TFA concentrations in Australian and New Zealand foods with other published food surveys</w:t>
        </w:r>
        <w:r w:rsidR="006E63B7">
          <w:rPr>
            <w:noProof/>
            <w:webHidden/>
          </w:rPr>
          <w:tab/>
        </w:r>
        <w:r w:rsidR="006E63B7">
          <w:rPr>
            <w:noProof/>
            <w:webHidden/>
          </w:rPr>
          <w:fldChar w:fldCharType="begin"/>
        </w:r>
        <w:r w:rsidR="006E63B7">
          <w:rPr>
            <w:noProof/>
            <w:webHidden/>
          </w:rPr>
          <w:instrText xml:space="preserve"> PAGEREF _Toc389652023 \h </w:instrText>
        </w:r>
        <w:r w:rsidR="006E63B7">
          <w:rPr>
            <w:noProof/>
            <w:webHidden/>
          </w:rPr>
        </w:r>
        <w:r w:rsidR="006E63B7">
          <w:rPr>
            <w:noProof/>
            <w:webHidden/>
          </w:rPr>
          <w:fldChar w:fldCharType="separate"/>
        </w:r>
        <w:r w:rsidR="00DA24C2">
          <w:rPr>
            <w:noProof/>
            <w:webHidden/>
          </w:rPr>
          <w:t>50</w:t>
        </w:r>
        <w:r w:rsidR="006E63B7">
          <w:rPr>
            <w:noProof/>
            <w:webHidden/>
          </w:rPr>
          <w:fldChar w:fldCharType="end"/>
        </w:r>
      </w:hyperlink>
    </w:p>
    <w:p w:rsidR="00E066BA" w:rsidRDefault="00E837C3" w:rsidP="00051ED9">
      <w:r>
        <w:rPr>
          <w:rFonts w:cstheme="minorHAnsi"/>
          <w:b/>
          <w:bCs/>
          <w:caps/>
          <w:sz w:val="20"/>
          <w:szCs w:val="20"/>
        </w:rPr>
        <w:fldChar w:fldCharType="end"/>
      </w:r>
    </w:p>
    <w:p w:rsidR="007E2428" w:rsidRDefault="007E2428" w:rsidP="00772BDC">
      <w:pPr>
        <w:sectPr w:rsidR="007E2428" w:rsidSect="000B6DF7">
          <w:footerReference w:type="default" r:id="rId14"/>
          <w:footnotePr>
            <w:numRestart w:val="eachSect"/>
          </w:footnotePr>
          <w:pgSz w:w="11906" w:h="16838"/>
          <w:pgMar w:top="1440" w:right="1440" w:bottom="1440" w:left="1440" w:header="709" w:footer="709" w:gutter="0"/>
          <w:pgNumType w:start="1"/>
          <w:cols w:space="708"/>
          <w:docGrid w:linePitch="360"/>
        </w:sectPr>
      </w:pPr>
    </w:p>
    <w:p w:rsidR="000B6DF7" w:rsidRPr="000E1F71" w:rsidRDefault="000B6DF7" w:rsidP="000B6DF7">
      <w:pPr>
        <w:pStyle w:val="Heading1"/>
      </w:pPr>
      <w:bookmarkStart w:id="4" w:name="_Toc387832019"/>
      <w:bookmarkStart w:id="5" w:name="_Toc389651997"/>
      <w:r>
        <w:lastRenderedPageBreak/>
        <w:t>1</w:t>
      </w:r>
      <w:r>
        <w:tab/>
      </w:r>
      <w:r w:rsidRPr="000E1F71">
        <w:t>Issue</w:t>
      </w:r>
      <w:bookmarkEnd w:id="4"/>
      <w:bookmarkEnd w:id="5"/>
    </w:p>
    <w:p w:rsidR="000B6DF7" w:rsidRPr="000E1F71" w:rsidRDefault="000B6DF7" w:rsidP="000B6DF7">
      <w:pPr>
        <w:rPr>
          <w:rFonts w:cs="Arial"/>
        </w:rPr>
      </w:pPr>
      <w:r w:rsidRPr="00B84116">
        <w:rPr>
          <w:rFonts w:cs="Arial"/>
        </w:rPr>
        <w:t xml:space="preserve">This </w:t>
      </w:r>
      <w:r w:rsidRPr="008C665B">
        <w:rPr>
          <w:rFonts w:cs="Arial"/>
        </w:rPr>
        <w:t xml:space="preserve">analytical survey of </w:t>
      </w:r>
      <w:r w:rsidRPr="00D3761F">
        <w:rPr>
          <w:rFonts w:cs="Arial"/>
        </w:rPr>
        <w:t>trans</w:t>
      </w:r>
      <w:r w:rsidRPr="008C665B">
        <w:rPr>
          <w:rFonts w:cs="Arial"/>
        </w:rPr>
        <w:t xml:space="preserve"> fatty acids </w:t>
      </w:r>
      <w:r>
        <w:rPr>
          <w:rFonts w:cs="Arial"/>
        </w:rPr>
        <w:t>(TFA</w:t>
      </w:r>
      <w:r w:rsidR="0077155B">
        <w:rPr>
          <w:rFonts w:cs="Arial"/>
        </w:rPr>
        <w:t>s</w:t>
      </w:r>
      <w:r>
        <w:rPr>
          <w:rFonts w:cs="Arial"/>
        </w:rPr>
        <w:t xml:space="preserve">) </w:t>
      </w:r>
      <w:r w:rsidRPr="008C665B">
        <w:rPr>
          <w:rFonts w:cs="Arial"/>
        </w:rPr>
        <w:t>in Australian and New Ze</w:t>
      </w:r>
      <w:r>
        <w:rPr>
          <w:rFonts w:cs="Arial"/>
        </w:rPr>
        <w:t>a</w:t>
      </w:r>
      <w:r w:rsidRPr="008C665B">
        <w:rPr>
          <w:rFonts w:cs="Arial"/>
        </w:rPr>
        <w:t xml:space="preserve">land foods </w:t>
      </w:r>
      <w:r>
        <w:rPr>
          <w:rFonts w:cs="Arial"/>
        </w:rPr>
        <w:t>arose as a result of a</w:t>
      </w:r>
      <w:r w:rsidRPr="00B84116">
        <w:rPr>
          <w:rFonts w:cs="Arial"/>
        </w:rPr>
        <w:t xml:space="preserve"> recommendation from the 2011 Review of Food Labelling Law and Policy</w:t>
      </w:r>
      <w:r>
        <w:rPr>
          <w:rFonts w:cs="Arial"/>
        </w:rPr>
        <w:t>. Th</w:t>
      </w:r>
      <w:r w:rsidR="000A38C0">
        <w:rPr>
          <w:rFonts w:cs="Arial"/>
        </w:rPr>
        <w:t>e r</w:t>
      </w:r>
      <w:r>
        <w:rPr>
          <w:rFonts w:cs="Arial"/>
        </w:rPr>
        <w:t>eview called</w:t>
      </w:r>
      <w:r w:rsidRPr="00B84116">
        <w:rPr>
          <w:rFonts w:cs="Arial"/>
        </w:rPr>
        <w:t xml:space="preserve"> for ‘mandatory declaration of all TFA</w:t>
      </w:r>
      <w:r w:rsidR="0077155B">
        <w:rPr>
          <w:rFonts w:cs="Arial"/>
        </w:rPr>
        <w:t xml:space="preserve">s </w:t>
      </w:r>
      <w:r w:rsidRPr="00B84116">
        <w:rPr>
          <w:rFonts w:cs="Arial"/>
        </w:rPr>
        <w:t xml:space="preserve">above an agreed threshold be </w:t>
      </w:r>
      <w:r w:rsidR="00B16071">
        <w:rPr>
          <w:rFonts w:cs="Arial"/>
        </w:rPr>
        <w:t>introduced i</w:t>
      </w:r>
      <w:r>
        <w:rPr>
          <w:rFonts w:cs="Arial"/>
        </w:rPr>
        <w:t xml:space="preserve">n </w:t>
      </w:r>
      <w:r w:rsidR="00D405DF">
        <w:rPr>
          <w:rFonts w:cs="Arial"/>
        </w:rPr>
        <w:t>the nutrition information p</w:t>
      </w:r>
      <w:r w:rsidRPr="00B84116">
        <w:rPr>
          <w:rFonts w:cs="Arial"/>
        </w:rPr>
        <w:t xml:space="preserve">anel if manufactured TFAs have not been phased out of the food supply by January 2013’. The Legislative and Governance Forum on Food Regulation (the Forum) noted the recommendation and referred </w:t>
      </w:r>
      <w:r>
        <w:rPr>
          <w:rFonts w:cs="Arial"/>
        </w:rPr>
        <w:t xml:space="preserve">the matter </w:t>
      </w:r>
      <w:r w:rsidRPr="00B84116">
        <w:rPr>
          <w:rFonts w:cs="Arial"/>
        </w:rPr>
        <w:t>to FSANZ for t</w:t>
      </w:r>
      <w:r>
        <w:rPr>
          <w:rFonts w:cs="Arial"/>
        </w:rPr>
        <w:t xml:space="preserve">echnical evaluation and advice. </w:t>
      </w:r>
      <w:r>
        <w:rPr>
          <w:rStyle w:val="FootnoteReference"/>
          <w:rFonts w:cs="Arial"/>
        </w:rPr>
        <w:footnoteReference w:id="1"/>
      </w:r>
    </w:p>
    <w:p w:rsidR="000B6DF7" w:rsidRPr="000E1F71" w:rsidRDefault="000B6DF7" w:rsidP="000B6DF7">
      <w:pPr>
        <w:pStyle w:val="Heading1"/>
      </w:pPr>
      <w:bookmarkStart w:id="6" w:name="_Toc387832020"/>
      <w:bookmarkStart w:id="7" w:name="_Toc389651998"/>
      <w:r>
        <w:t>2</w:t>
      </w:r>
      <w:r>
        <w:tab/>
      </w:r>
      <w:r w:rsidRPr="008C665B">
        <w:t>Purpose of the analytical survey</w:t>
      </w:r>
      <w:bookmarkEnd w:id="6"/>
      <w:bookmarkEnd w:id="7"/>
    </w:p>
    <w:p w:rsidR="000B6DF7" w:rsidRPr="006413BF" w:rsidRDefault="000B6DF7" w:rsidP="000B6DF7">
      <w:pPr>
        <w:rPr>
          <w:rFonts w:cs="Arial"/>
          <w:color w:val="000000"/>
          <w:lang w:val="en-AU"/>
        </w:rPr>
      </w:pPr>
      <w:r w:rsidRPr="008C665B">
        <w:rPr>
          <w:rFonts w:cs="Arial"/>
          <w:color w:val="000000"/>
          <w:lang w:val="en-AU"/>
        </w:rPr>
        <w:t xml:space="preserve">The aim of this survey </w:t>
      </w:r>
      <w:r>
        <w:rPr>
          <w:rFonts w:cs="Arial"/>
          <w:color w:val="000000"/>
          <w:lang w:val="en-AU"/>
        </w:rPr>
        <w:t>was</w:t>
      </w:r>
      <w:r w:rsidRPr="008C665B">
        <w:rPr>
          <w:rFonts w:cs="Arial"/>
          <w:color w:val="000000"/>
          <w:lang w:val="en-AU"/>
        </w:rPr>
        <w:t xml:space="preserve"> to determine current </w:t>
      </w:r>
      <w:r>
        <w:rPr>
          <w:rFonts w:cs="Arial"/>
          <w:color w:val="000000"/>
          <w:lang w:val="en-AU"/>
        </w:rPr>
        <w:t>concentrations</w:t>
      </w:r>
      <w:r w:rsidRPr="008C665B">
        <w:rPr>
          <w:rFonts w:cs="Arial"/>
          <w:color w:val="000000"/>
          <w:lang w:val="en-AU"/>
        </w:rPr>
        <w:t xml:space="preserve"> of TFA</w:t>
      </w:r>
      <w:r w:rsidR="0077155B">
        <w:rPr>
          <w:rFonts w:cs="Arial"/>
          <w:color w:val="000000"/>
          <w:lang w:val="en-AU"/>
        </w:rPr>
        <w:t>s</w:t>
      </w:r>
      <w:r w:rsidRPr="008C665B">
        <w:rPr>
          <w:rFonts w:cs="Arial"/>
          <w:color w:val="000000"/>
          <w:lang w:val="en-AU"/>
        </w:rPr>
        <w:t xml:space="preserve"> i</w:t>
      </w:r>
      <w:r>
        <w:rPr>
          <w:rFonts w:cs="Arial"/>
          <w:color w:val="000000"/>
          <w:lang w:val="en-AU"/>
        </w:rPr>
        <w:t>n a range of processed and take</w:t>
      </w:r>
      <w:r w:rsidRPr="008C665B">
        <w:rPr>
          <w:rFonts w:cs="Arial"/>
          <w:color w:val="000000"/>
          <w:lang w:val="en-AU"/>
        </w:rPr>
        <w:t>away foods available</w:t>
      </w:r>
      <w:r>
        <w:rPr>
          <w:rFonts w:cs="Arial"/>
          <w:color w:val="000000"/>
          <w:lang w:val="en-AU"/>
        </w:rPr>
        <w:t xml:space="preserve"> in Australia and New Zealand. It also provided the opportunity to assess the levels of </w:t>
      </w:r>
      <w:r w:rsidRPr="006413BF">
        <w:rPr>
          <w:rFonts w:cs="Arial"/>
          <w:color w:val="000000"/>
          <w:lang w:val="en-AU"/>
        </w:rPr>
        <w:t>the full range of fatty acids, including saturated fatty acids (SFAs), in the surveyed foods.</w:t>
      </w:r>
    </w:p>
    <w:p w:rsidR="000B6DF7" w:rsidRDefault="000B6DF7" w:rsidP="000B6DF7">
      <w:pPr>
        <w:rPr>
          <w:rFonts w:cs="Arial"/>
          <w:color w:val="000000"/>
          <w:lang w:val="en-AU"/>
        </w:rPr>
      </w:pPr>
    </w:p>
    <w:p w:rsidR="000B6DF7" w:rsidRDefault="000B6DF7" w:rsidP="000B6DF7">
      <w:pPr>
        <w:rPr>
          <w:rFonts w:cs="Arial"/>
          <w:color w:val="000000"/>
          <w:lang w:val="en-AU"/>
        </w:rPr>
      </w:pPr>
      <w:r w:rsidRPr="008C665B">
        <w:rPr>
          <w:rFonts w:cs="Arial"/>
          <w:color w:val="000000"/>
          <w:lang w:val="en-AU"/>
        </w:rPr>
        <w:t xml:space="preserve">The survey </w:t>
      </w:r>
      <w:r>
        <w:rPr>
          <w:rFonts w:cs="Arial"/>
          <w:color w:val="000000"/>
          <w:lang w:val="en-AU"/>
        </w:rPr>
        <w:t xml:space="preserve">was </w:t>
      </w:r>
      <w:r w:rsidRPr="008C665B">
        <w:rPr>
          <w:rFonts w:cs="Arial"/>
          <w:color w:val="000000"/>
          <w:lang w:val="en-AU"/>
        </w:rPr>
        <w:t>a follow up to previous</w:t>
      </w:r>
      <w:r>
        <w:rPr>
          <w:rFonts w:cs="Arial"/>
          <w:color w:val="000000"/>
          <w:lang w:val="en-AU"/>
        </w:rPr>
        <w:t xml:space="preserve"> Implementation Sub</w:t>
      </w:r>
      <w:r w:rsidR="000A38C0">
        <w:rPr>
          <w:rFonts w:cs="Arial"/>
          <w:color w:val="000000"/>
          <w:lang w:val="en-AU"/>
        </w:rPr>
        <w:t>c</w:t>
      </w:r>
      <w:r>
        <w:rPr>
          <w:rFonts w:cs="Arial"/>
          <w:color w:val="000000"/>
          <w:lang w:val="en-AU"/>
        </w:rPr>
        <w:t xml:space="preserve">ommittee </w:t>
      </w:r>
      <w:r w:rsidR="000A38C0">
        <w:rPr>
          <w:rFonts w:cs="Arial"/>
          <w:color w:val="000000"/>
          <w:lang w:val="en-AU"/>
        </w:rPr>
        <w:t xml:space="preserve">for Food Regulation </w:t>
      </w:r>
      <w:r w:rsidRPr="008C665B">
        <w:rPr>
          <w:rFonts w:cs="Arial"/>
          <w:color w:val="000000"/>
          <w:lang w:val="en-AU"/>
        </w:rPr>
        <w:t xml:space="preserve"> coordinated surveys on TFAs</w:t>
      </w:r>
      <w:r>
        <w:rPr>
          <w:rFonts w:cs="Arial"/>
          <w:color w:val="000000"/>
          <w:lang w:val="en-AU"/>
        </w:rPr>
        <w:t xml:space="preserve">. </w:t>
      </w:r>
    </w:p>
    <w:p w:rsidR="000B6DF7" w:rsidRPr="000E1F71" w:rsidRDefault="000B6DF7" w:rsidP="000B6DF7">
      <w:pPr>
        <w:pStyle w:val="Heading1"/>
        <w:rPr>
          <w:lang w:val="en-AU"/>
        </w:rPr>
      </w:pPr>
      <w:bookmarkStart w:id="8" w:name="_Toc387832021"/>
      <w:bookmarkStart w:id="9" w:name="_Toc389651999"/>
      <w:r>
        <w:rPr>
          <w:lang w:val="en-AU"/>
        </w:rPr>
        <w:t>3</w:t>
      </w:r>
      <w:r>
        <w:rPr>
          <w:lang w:val="en-AU"/>
        </w:rPr>
        <w:tab/>
        <w:t>Justification for the s</w:t>
      </w:r>
      <w:r w:rsidRPr="008C665B">
        <w:rPr>
          <w:lang w:val="en-AU"/>
        </w:rPr>
        <w:t>urvey</w:t>
      </w:r>
      <w:bookmarkEnd w:id="8"/>
      <w:bookmarkEnd w:id="9"/>
    </w:p>
    <w:p w:rsidR="000B6DF7" w:rsidRDefault="000B6DF7" w:rsidP="000B6DF7">
      <w:pPr>
        <w:rPr>
          <w:rFonts w:cs="Arial"/>
          <w:iCs/>
          <w:lang w:val="en-AU"/>
        </w:rPr>
      </w:pPr>
      <w:r w:rsidRPr="008C665B">
        <w:rPr>
          <w:rFonts w:cs="Arial"/>
          <w:iCs/>
          <w:lang w:val="en-AU"/>
        </w:rPr>
        <w:t>TFAs can be found naturally in meat and milk from certain animals and as a product of fats and oils altered by industrial processes, such as hydrogenation. Hydrogenation has been widely used to solidify liquid vegetable oils to make products such as margarines and shortenings and involves adding hydrogen to the oils</w:t>
      </w:r>
      <w:r>
        <w:rPr>
          <w:rFonts w:cs="Arial"/>
          <w:iCs/>
          <w:lang w:val="en-AU"/>
        </w:rPr>
        <w:t>.</w:t>
      </w:r>
    </w:p>
    <w:p w:rsidR="000B6DF7" w:rsidRPr="008C665B" w:rsidRDefault="000B6DF7" w:rsidP="000B6DF7">
      <w:pPr>
        <w:rPr>
          <w:rFonts w:cs="Arial"/>
          <w:iCs/>
          <w:lang w:val="en-AU"/>
        </w:rPr>
      </w:pPr>
    </w:p>
    <w:p w:rsidR="000B6DF7" w:rsidRPr="008C665B" w:rsidRDefault="000B6DF7" w:rsidP="000B6DF7">
      <w:pPr>
        <w:rPr>
          <w:rFonts w:cs="Arial"/>
          <w:iCs/>
          <w:lang w:val="en-AU"/>
        </w:rPr>
      </w:pPr>
      <w:r w:rsidRPr="008C665B">
        <w:rPr>
          <w:rFonts w:cs="Arial"/>
          <w:iCs/>
          <w:lang w:val="en-AU"/>
        </w:rPr>
        <w:t xml:space="preserve">TFAs are known to raise total blood cholesterol and increase the proportion of low density lipoproteins. </w:t>
      </w:r>
      <w:r w:rsidR="000B0681">
        <w:rPr>
          <w:rFonts w:cs="Arial"/>
          <w:iCs/>
          <w:lang w:val="en-AU"/>
        </w:rPr>
        <w:t xml:space="preserve">Blood cholesterol level is a risk factor for coronary heart disease. </w:t>
      </w:r>
      <w:r w:rsidR="00333827">
        <w:rPr>
          <w:rFonts w:cs="Arial"/>
          <w:iCs/>
          <w:lang w:val="en-AU"/>
        </w:rPr>
        <w:t xml:space="preserve">This </w:t>
      </w:r>
      <w:r w:rsidRPr="008C665B">
        <w:rPr>
          <w:rFonts w:cs="Arial"/>
          <w:iCs/>
          <w:lang w:val="en-AU"/>
        </w:rPr>
        <w:t>led to previous survey activities conducte</w:t>
      </w:r>
      <w:r>
        <w:rPr>
          <w:rFonts w:cs="Arial"/>
          <w:iCs/>
          <w:lang w:val="en-AU"/>
        </w:rPr>
        <w:t>d in 2005</w:t>
      </w:r>
      <w:r w:rsidR="0077155B">
        <w:rPr>
          <w:rFonts w:cs="Arial"/>
          <w:iCs/>
          <w:lang w:val="en-AU"/>
        </w:rPr>
        <w:t xml:space="preserve"> and </w:t>
      </w:r>
      <w:r>
        <w:rPr>
          <w:rFonts w:cs="Arial"/>
          <w:iCs/>
          <w:lang w:val="en-AU"/>
        </w:rPr>
        <w:t>2007, and 2008</w:t>
      </w:r>
      <w:r w:rsidR="00173921">
        <w:rPr>
          <w:rFonts w:cs="Arial"/>
          <w:iCs/>
          <w:lang w:val="en-AU"/>
        </w:rPr>
        <w:t>‒</w:t>
      </w:r>
      <w:r>
        <w:rPr>
          <w:rFonts w:cs="Arial"/>
          <w:iCs/>
          <w:lang w:val="en-AU"/>
        </w:rPr>
        <w:t>09</w:t>
      </w:r>
      <w:r w:rsidRPr="008C665B">
        <w:rPr>
          <w:rFonts w:cs="Arial"/>
          <w:iCs/>
          <w:lang w:val="en-AU"/>
        </w:rPr>
        <w:t xml:space="preserve"> to assess the levels of TFA</w:t>
      </w:r>
      <w:r w:rsidR="0077155B">
        <w:rPr>
          <w:rFonts w:cs="Arial"/>
          <w:iCs/>
          <w:lang w:val="en-AU"/>
        </w:rPr>
        <w:t>s</w:t>
      </w:r>
      <w:r w:rsidRPr="008C665B">
        <w:rPr>
          <w:rFonts w:cs="Arial"/>
          <w:iCs/>
          <w:lang w:val="en-AU"/>
        </w:rPr>
        <w:t xml:space="preserve"> in foods and the safety of estimated intake. </w:t>
      </w:r>
    </w:p>
    <w:p w:rsidR="000B6DF7" w:rsidRDefault="000B6DF7" w:rsidP="000B6DF7">
      <w:pPr>
        <w:rPr>
          <w:rFonts w:cs="Arial"/>
          <w:iCs/>
          <w:lang w:val="en-AU"/>
        </w:rPr>
      </w:pPr>
    </w:p>
    <w:p w:rsidR="000B6DF7" w:rsidRDefault="000B6DF7" w:rsidP="000B6DF7">
      <w:pPr>
        <w:rPr>
          <w:rFonts w:cs="Arial"/>
          <w:iCs/>
          <w:lang w:val="en-AU"/>
        </w:rPr>
      </w:pPr>
      <w:r>
        <w:rPr>
          <w:rFonts w:cs="Arial"/>
          <w:iCs/>
          <w:lang w:val="en-AU"/>
        </w:rPr>
        <w:t xml:space="preserve">The results </w:t>
      </w:r>
      <w:r w:rsidR="00173921">
        <w:rPr>
          <w:rFonts w:cs="Arial"/>
          <w:iCs/>
          <w:lang w:val="en-AU"/>
        </w:rPr>
        <w:t xml:space="preserve">of this survey </w:t>
      </w:r>
      <w:r>
        <w:rPr>
          <w:rFonts w:cs="Arial"/>
          <w:iCs/>
          <w:lang w:val="en-AU"/>
        </w:rPr>
        <w:t xml:space="preserve">should be considered </w:t>
      </w:r>
      <w:r w:rsidR="00173921">
        <w:rPr>
          <w:rFonts w:cs="Arial"/>
          <w:iCs/>
          <w:lang w:val="en-AU"/>
        </w:rPr>
        <w:t>together</w:t>
      </w:r>
      <w:r>
        <w:rPr>
          <w:rFonts w:cs="Arial"/>
          <w:iCs/>
          <w:lang w:val="en-AU"/>
        </w:rPr>
        <w:t xml:space="preserve"> with the 2013 FSANZ industry survey on the use of TFA</w:t>
      </w:r>
      <w:r w:rsidR="0077155B">
        <w:rPr>
          <w:rFonts w:cs="Arial"/>
          <w:iCs/>
          <w:lang w:val="en-AU"/>
        </w:rPr>
        <w:t>s</w:t>
      </w:r>
      <w:r>
        <w:rPr>
          <w:rFonts w:cs="Arial"/>
          <w:iCs/>
          <w:lang w:val="en-AU"/>
        </w:rPr>
        <w:t xml:space="preserve"> in the New Zealand and Australian food supply, and the 2014 FSANZ systematic and narrative reviews of the health effects of TFA</w:t>
      </w:r>
      <w:r w:rsidR="0077155B">
        <w:rPr>
          <w:rFonts w:cs="Arial"/>
          <w:iCs/>
          <w:lang w:val="en-AU"/>
        </w:rPr>
        <w:t>s</w:t>
      </w:r>
      <w:r>
        <w:rPr>
          <w:rFonts w:cs="Arial"/>
          <w:iCs/>
          <w:lang w:val="en-AU"/>
        </w:rPr>
        <w:t xml:space="preserve">. </w:t>
      </w:r>
    </w:p>
    <w:p w:rsidR="000B6DF7" w:rsidRPr="000E1F71" w:rsidRDefault="000B6DF7" w:rsidP="000B6DF7">
      <w:pPr>
        <w:pStyle w:val="Heading1"/>
      </w:pPr>
      <w:bookmarkStart w:id="10" w:name="_Toc387832022"/>
      <w:bookmarkStart w:id="11" w:name="_Toc389652000"/>
      <w:r>
        <w:t>4</w:t>
      </w:r>
      <w:r>
        <w:tab/>
      </w:r>
      <w:r w:rsidRPr="00C04F4C">
        <w:t>A note on definitions</w:t>
      </w:r>
      <w:bookmarkEnd w:id="10"/>
      <w:bookmarkEnd w:id="11"/>
    </w:p>
    <w:p w:rsidR="000B6DF7" w:rsidRPr="00DE74A3" w:rsidRDefault="000B6DF7" w:rsidP="000B6DF7">
      <w:r w:rsidRPr="00DE74A3">
        <w:t>Throughout this report trans fatty acids are abbreviated as ‘TFA</w:t>
      </w:r>
      <w:r w:rsidR="0077155B">
        <w:t>s</w:t>
      </w:r>
      <w:r w:rsidRPr="00DE74A3">
        <w:t>’. This term is equivalent to the term ‘trans fat’ commonly used in the popular press and other documents.</w:t>
      </w:r>
    </w:p>
    <w:p w:rsidR="000B6DF7" w:rsidRPr="00DE74A3" w:rsidRDefault="000B6DF7" w:rsidP="000B6DF7"/>
    <w:p w:rsidR="000B6DF7" w:rsidRDefault="000B6DF7" w:rsidP="000B6DF7">
      <w:r w:rsidRPr="00DE74A3">
        <w:t>‘Ruminant TFA</w:t>
      </w:r>
      <w:r w:rsidR="0077155B">
        <w:t>s</w:t>
      </w:r>
      <w:r w:rsidRPr="00DE74A3">
        <w:t>’ refers to those TFA</w:t>
      </w:r>
      <w:r w:rsidR="0077155B">
        <w:t>s</w:t>
      </w:r>
      <w:r w:rsidRPr="00DE74A3">
        <w:t xml:space="preserve"> that are likely </w:t>
      </w:r>
      <w:r w:rsidR="00173921">
        <w:t>come</w:t>
      </w:r>
      <w:r w:rsidRPr="00DE74A3">
        <w:t xml:space="preserve"> from the use of ingredients such as beef, lamb and dairy foods, or other naturally occurring non-ruminant TFA</w:t>
      </w:r>
      <w:r w:rsidR="0077155B">
        <w:t>s</w:t>
      </w:r>
      <w:r w:rsidRPr="00DE74A3">
        <w:t xml:space="preserve"> (e.g. in poultry). ‘Manufactured TFA</w:t>
      </w:r>
      <w:r w:rsidR="0077155B">
        <w:t>s</w:t>
      </w:r>
      <w:r w:rsidRPr="00DE74A3">
        <w:t xml:space="preserve">’ refers to </w:t>
      </w:r>
      <w:r w:rsidR="00173921">
        <w:t>T</w:t>
      </w:r>
      <w:r w:rsidRPr="00DE74A3">
        <w:t>FA</w:t>
      </w:r>
      <w:r w:rsidR="0077155B">
        <w:t>s</w:t>
      </w:r>
      <w:r w:rsidRPr="00DE74A3">
        <w:t xml:space="preserve"> likely to </w:t>
      </w:r>
      <w:r w:rsidR="00173921">
        <w:t>come</w:t>
      </w:r>
      <w:r w:rsidRPr="00DE74A3">
        <w:t xml:space="preserve"> from the use of oils and fats that have been hydrogenated or deodorised or otherwise contain TFA</w:t>
      </w:r>
      <w:r w:rsidR="0077155B">
        <w:t>s</w:t>
      </w:r>
      <w:r w:rsidRPr="00DE74A3">
        <w:t xml:space="preserve"> </w:t>
      </w:r>
      <w:r w:rsidR="00173921">
        <w:t xml:space="preserve">resulting from </w:t>
      </w:r>
      <w:r w:rsidRPr="00DE74A3">
        <w:t xml:space="preserve">food processing. </w:t>
      </w:r>
    </w:p>
    <w:p w:rsidR="000B6DF7" w:rsidRPr="00DE74A3" w:rsidRDefault="000B6DF7" w:rsidP="000B6DF7"/>
    <w:p w:rsidR="000B6DF7" w:rsidRPr="00DE74A3" w:rsidRDefault="000B6DF7" w:rsidP="000B6DF7">
      <w:r w:rsidRPr="00DE74A3">
        <w:t>‘Total TFA</w:t>
      </w:r>
      <w:r w:rsidR="0077155B">
        <w:t>s</w:t>
      </w:r>
      <w:r w:rsidR="0099467A" w:rsidRPr="00DE74A3">
        <w:t>’</w:t>
      </w:r>
      <w:r w:rsidRPr="00DE74A3">
        <w:t xml:space="preserve"> refers to the sum of ruminant plus manufactured TFA</w:t>
      </w:r>
      <w:r w:rsidR="0077155B">
        <w:t>s</w:t>
      </w:r>
      <w:r w:rsidRPr="00DE74A3">
        <w:t xml:space="preserve">. The range of individual </w:t>
      </w:r>
      <w:r>
        <w:lastRenderedPageBreak/>
        <w:t>TFA</w:t>
      </w:r>
      <w:r w:rsidR="0077155B">
        <w:t>s</w:t>
      </w:r>
      <w:r w:rsidRPr="00DE74A3">
        <w:t xml:space="preserve"> is the same in ruminant and manufactured TFA</w:t>
      </w:r>
      <w:r w:rsidR="0077155B">
        <w:t>s</w:t>
      </w:r>
      <w:r w:rsidRPr="00DE74A3">
        <w:t xml:space="preserve"> sources, but the proportions of these individual acids differ.</w:t>
      </w:r>
      <w:r>
        <w:t xml:space="preserve"> Unless the term manufactured or ruminant TFA</w:t>
      </w:r>
      <w:r w:rsidR="0077155B">
        <w:t>s</w:t>
      </w:r>
      <w:r>
        <w:t xml:space="preserve"> is specified, it should be assumed that the use of TFA</w:t>
      </w:r>
      <w:r w:rsidR="0077155B">
        <w:t>s or TFA</w:t>
      </w:r>
      <w:r>
        <w:t xml:space="preserve"> in the report refers to total TFA</w:t>
      </w:r>
      <w:r w:rsidR="0077155B">
        <w:t>s</w:t>
      </w:r>
      <w:r>
        <w:t xml:space="preserve">. </w:t>
      </w:r>
    </w:p>
    <w:p w:rsidR="000B6DF7" w:rsidRPr="00DE74A3" w:rsidRDefault="000B6DF7" w:rsidP="000B6DF7"/>
    <w:p w:rsidR="000B6DF7" w:rsidRPr="00DE74A3" w:rsidRDefault="000B6DF7" w:rsidP="000B6DF7">
      <w:r w:rsidRPr="00DE74A3">
        <w:t>‘SFA</w:t>
      </w:r>
      <w:r w:rsidR="00F84126">
        <w:t>s</w:t>
      </w:r>
      <w:r w:rsidRPr="00DE74A3">
        <w:t xml:space="preserve">’ in this report </w:t>
      </w:r>
      <w:r w:rsidR="00173921">
        <w:t xml:space="preserve">refers </w:t>
      </w:r>
      <w:r w:rsidRPr="00DE74A3">
        <w:t xml:space="preserve">to all fatty acids that are saturated, that is, </w:t>
      </w:r>
      <w:r>
        <w:t xml:space="preserve">those that </w:t>
      </w:r>
      <w:r w:rsidRPr="00DE74A3">
        <w:t>contain no double bonds between adjacent carbon atoms.</w:t>
      </w:r>
    </w:p>
    <w:p w:rsidR="000B6DF7" w:rsidRPr="00DE74A3" w:rsidRDefault="000B6DF7" w:rsidP="000B6DF7">
      <w:pPr>
        <w:rPr>
          <w:i/>
        </w:rPr>
      </w:pPr>
    </w:p>
    <w:p w:rsidR="000B6DF7" w:rsidRDefault="000B6DF7" w:rsidP="000B6DF7">
      <w:r>
        <w:t>T</w:t>
      </w:r>
      <w:r w:rsidRPr="007102A0">
        <w:t xml:space="preserve">he </w:t>
      </w:r>
      <w:r>
        <w:t xml:space="preserve">occurrence, </w:t>
      </w:r>
      <w:r w:rsidRPr="007102A0">
        <w:t xml:space="preserve">chemistry and nomenclature of fatty acids are explained </w:t>
      </w:r>
      <w:r>
        <w:t>in further detail</w:t>
      </w:r>
      <w:r w:rsidRPr="007102A0">
        <w:t xml:space="preserve"> in </w:t>
      </w:r>
      <w:r w:rsidRPr="00BE51FC">
        <w:t>Appendix 1.</w:t>
      </w:r>
      <w:r w:rsidRPr="007102A0">
        <w:t xml:space="preserve"> </w:t>
      </w:r>
    </w:p>
    <w:p w:rsidR="000B6DF7" w:rsidRDefault="00EF39D5" w:rsidP="006D1098">
      <w:pPr>
        <w:pStyle w:val="Heading1"/>
      </w:pPr>
      <w:bookmarkStart w:id="12" w:name="_Toc389652001"/>
      <w:bookmarkStart w:id="13" w:name="_Toc387832023"/>
      <w:r w:rsidRPr="00EF39D5">
        <w:t>5</w:t>
      </w:r>
      <w:r>
        <w:tab/>
      </w:r>
      <w:r w:rsidR="000B6DF7" w:rsidRPr="006D1098">
        <w:t>Previous</w:t>
      </w:r>
      <w:r w:rsidR="000B6DF7">
        <w:t xml:space="preserve"> FSANZ surveys</w:t>
      </w:r>
      <w:bookmarkEnd w:id="12"/>
    </w:p>
    <w:p w:rsidR="000B6DF7" w:rsidRDefault="00EF39D5" w:rsidP="008E314D">
      <w:pPr>
        <w:pStyle w:val="Heading2"/>
      </w:pPr>
      <w:bookmarkStart w:id="14" w:name="_Toc389652002"/>
      <w:r>
        <w:t>5.</w:t>
      </w:r>
      <w:r w:rsidRPr="00EF39D5">
        <w:t>1</w:t>
      </w:r>
      <w:r>
        <w:tab/>
      </w:r>
      <w:r w:rsidR="000B6DF7" w:rsidRPr="00EF39D5">
        <w:t>Review</w:t>
      </w:r>
      <w:r>
        <w:t xml:space="preserve"> Report</w:t>
      </w:r>
      <w:r w:rsidR="0090183C">
        <w:t>—</w:t>
      </w:r>
      <w:r w:rsidR="000B6DF7" w:rsidRPr="0090183C">
        <w:t>Trans</w:t>
      </w:r>
      <w:r w:rsidR="000B6DF7">
        <w:t xml:space="preserve"> fatty acids in the New Zealand and Australian food supply (FSANZ 2007)</w:t>
      </w:r>
      <w:bookmarkEnd w:id="13"/>
      <w:bookmarkEnd w:id="14"/>
    </w:p>
    <w:p w:rsidR="003C13E6" w:rsidRDefault="000B6DF7" w:rsidP="000B6DF7">
      <w:r w:rsidRPr="004D3EAD">
        <w:t xml:space="preserve">In 2007, FSANZ </w:t>
      </w:r>
      <w:r w:rsidRPr="007F51F9">
        <w:t>reviewed the concentrations and dietary intake of TFA</w:t>
      </w:r>
      <w:r w:rsidR="00F84126">
        <w:t>s</w:t>
      </w:r>
      <w:r w:rsidRPr="007F51F9">
        <w:t xml:space="preserve"> in the</w:t>
      </w:r>
      <w:r w:rsidRPr="004D3EAD">
        <w:t xml:space="preserve"> New Zealand and Australian food supply. </w:t>
      </w:r>
      <w:r w:rsidR="003C13E6">
        <w:t xml:space="preserve">The analytical data were derived from five sources: </w:t>
      </w:r>
    </w:p>
    <w:p w:rsidR="003C13E6" w:rsidRDefault="003C13E6" w:rsidP="000B6DF7"/>
    <w:p w:rsidR="003C13E6" w:rsidRDefault="00173921" w:rsidP="00960415">
      <w:pPr>
        <w:pStyle w:val="ListParagraph"/>
        <w:numPr>
          <w:ilvl w:val="0"/>
          <w:numId w:val="27"/>
        </w:numPr>
        <w:ind w:left="426" w:hanging="426"/>
      </w:pPr>
      <w:r>
        <w:t>a</w:t>
      </w:r>
      <w:r w:rsidR="003C13E6">
        <w:t>nalytical data generated by the NSW Food Authority in a 2005 study of over 250 samples of 50 different food types</w:t>
      </w:r>
    </w:p>
    <w:p w:rsidR="00960415" w:rsidRDefault="00960415" w:rsidP="00960415">
      <w:pPr>
        <w:pStyle w:val="ListParagraph"/>
        <w:ind w:left="426" w:hanging="426"/>
      </w:pPr>
    </w:p>
    <w:p w:rsidR="003C13E6" w:rsidRDefault="003C13E6" w:rsidP="00960415">
      <w:pPr>
        <w:pStyle w:val="ListParagraph"/>
        <w:numPr>
          <w:ilvl w:val="0"/>
          <w:numId w:val="27"/>
        </w:numPr>
        <w:ind w:left="426" w:hanging="426"/>
      </w:pPr>
      <w:r>
        <w:t>FSANZ data generated in analytical surveys of nutrients in Australian foods conducted since 2001, for approximately 65 samples of around 50 different foods</w:t>
      </w:r>
    </w:p>
    <w:p w:rsidR="00960415" w:rsidRDefault="00960415" w:rsidP="00960415">
      <w:pPr>
        <w:ind w:hanging="426"/>
      </w:pPr>
    </w:p>
    <w:p w:rsidR="003C13E6" w:rsidRDefault="00173921" w:rsidP="00960415">
      <w:pPr>
        <w:pStyle w:val="ListParagraph"/>
        <w:numPr>
          <w:ilvl w:val="0"/>
          <w:numId w:val="27"/>
        </w:numPr>
        <w:ind w:left="426" w:hanging="426"/>
      </w:pPr>
      <w:r>
        <w:t>d</w:t>
      </w:r>
      <w:r w:rsidR="003C13E6">
        <w:t>ata from the South Australian Department of Health for hot potato chips from two fast food chains (16 samples in total)</w:t>
      </w:r>
    </w:p>
    <w:p w:rsidR="00960415" w:rsidRDefault="00960415" w:rsidP="00960415">
      <w:pPr>
        <w:ind w:hanging="426"/>
      </w:pPr>
    </w:p>
    <w:p w:rsidR="003C13E6" w:rsidRDefault="00173921" w:rsidP="00960415">
      <w:pPr>
        <w:pStyle w:val="ListParagraph"/>
        <w:numPr>
          <w:ilvl w:val="0"/>
          <w:numId w:val="27"/>
        </w:numPr>
        <w:ind w:left="426" w:hanging="426"/>
      </w:pPr>
      <w:r>
        <w:t>f</w:t>
      </w:r>
      <w:r w:rsidR="003C13E6">
        <w:t xml:space="preserve">or New Zealand foods, analytical data generated in 2006 by the Institute of Environmental Science and Research Ltd (ESR) for 47 samples across </w:t>
      </w:r>
      <w:r w:rsidR="009365BA">
        <w:t>ten</w:t>
      </w:r>
      <w:r w:rsidR="003C13E6">
        <w:t xml:space="preserve"> food categories</w:t>
      </w:r>
    </w:p>
    <w:p w:rsidR="00960415" w:rsidRDefault="00960415" w:rsidP="00960415">
      <w:pPr>
        <w:ind w:hanging="426"/>
      </w:pPr>
    </w:p>
    <w:p w:rsidR="003C13E6" w:rsidRDefault="00173921" w:rsidP="00960415">
      <w:pPr>
        <w:pStyle w:val="ListParagraph"/>
        <w:numPr>
          <w:ilvl w:val="0"/>
          <w:numId w:val="27"/>
        </w:numPr>
        <w:ind w:left="426" w:hanging="426"/>
      </w:pPr>
      <w:r>
        <w:t>d</w:t>
      </w:r>
      <w:r w:rsidR="003C13E6">
        <w:t xml:space="preserve">ata generated by New Zealand’s Crop </w:t>
      </w:r>
      <w:r>
        <w:t>and</w:t>
      </w:r>
      <w:r w:rsidR="003C13E6">
        <w:t xml:space="preserve"> Food Research since 2002 for approximately 190 samples of around 60 different food types.</w:t>
      </w:r>
    </w:p>
    <w:p w:rsidR="000B6DF7" w:rsidRDefault="000B6DF7" w:rsidP="000B6DF7"/>
    <w:p w:rsidR="00F95649" w:rsidRDefault="00F95649" w:rsidP="00F95649">
      <w:r>
        <w:t>The NSW Food Authority study was the most comprehensive of the data sets available.</w:t>
      </w:r>
    </w:p>
    <w:p w:rsidR="00F95649" w:rsidRDefault="00F95649" w:rsidP="00F95649">
      <w:r>
        <w:t>Generally, five single samples were analysed for each type of food (e.g. five types of potato</w:t>
      </w:r>
    </w:p>
    <w:p w:rsidR="00F95649" w:rsidRDefault="00F95649" w:rsidP="00F95649">
      <w:r>
        <w:t>crisps). Samples surveyed were collected in Sydney and included not only major staple foods such as breads, milk, eggs, fish and meats, but also a considerable number of foods that were considered likely to contain significant levels of TFA (e.g. deep fried foods, pastry products).</w:t>
      </w:r>
    </w:p>
    <w:p w:rsidR="00F95649" w:rsidRDefault="00F95649" w:rsidP="00F95649"/>
    <w:p w:rsidR="00F95649" w:rsidRDefault="00F95649" w:rsidP="00F95649">
      <w:r>
        <w:t xml:space="preserve">The FSANZ data were primarily collected in Melbourne. Categories of foods analysed included edible oil spreads, hot potato chips from fast food outlets, potato crisps, eggs, bread, some cakes, peanut butter, soup mixes, some dairy foods (milk, butter, dairy blend, some cheeses and yoghurts), fresh fish, pastry, tofu and chicken. Most samples represented a composite sample of between </w:t>
      </w:r>
      <w:r w:rsidR="009365BA">
        <w:t>five</w:t>
      </w:r>
      <w:r>
        <w:t xml:space="preserve"> and </w:t>
      </w:r>
      <w:r w:rsidR="009365BA">
        <w:t xml:space="preserve">ten </w:t>
      </w:r>
      <w:r>
        <w:t xml:space="preserve">purchases. </w:t>
      </w:r>
    </w:p>
    <w:p w:rsidR="00F95649" w:rsidRDefault="00F95649" w:rsidP="00F95649"/>
    <w:p w:rsidR="00F95649" w:rsidRDefault="00F95649" w:rsidP="00F95649">
      <w:r>
        <w:t>The South Australian Department of Health study was a pilot study of TFA levels in chicken nuggets and hot potato fries from two fast food chains (eight individual samples of each food type).</w:t>
      </w:r>
    </w:p>
    <w:p w:rsidR="00F95649" w:rsidRDefault="00F95649" w:rsidP="000B6DF7"/>
    <w:p w:rsidR="00F95649" w:rsidRDefault="00F95649" w:rsidP="00F95649">
      <w:r>
        <w:t>New Zealand data available to FSANZ were generated</w:t>
      </w:r>
      <w:r w:rsidR="0090183C">
        <w:t xml:space="preserve"> from</w:t>
      </w:r>
      <w:r>
        <w:t xml:space="preserve"> a somewhat narrower range of foods and focus</w:t>
      </w:r>
      <w:r w:rsidR="004C3875">
        <w:t>ed</w:t>
      </w:r>
      <w:r>
        <w:t xml:space="preserve"> largely on those food groups expected to be significant contributors to TFA intakes (spreads, ruminant foods, fried foods and baked goods likely to contain </w:t>
      </w:r>
      <w:r>
        <w:lastRenderedPageBreak/>
        <w:t>hydrogenated fats). Most of the samples analysed were New Zealand manufactured foods.</w:t>
      </w:r>
    </w:p>
    <w:p w:rsidR="00F95649" w:rsidRDefault="00F95649" w:rsidP="00F95649"/>
    <w:p w:rsidR="000B6DF7" w:rsidRDefault="000B6DF7" w:rsidP="000B6DF7">
      <w:r>
        <w:t>Key findings from the FSANZ 2007 review were that:</w:t>
      </w:r>
      <w:r>
        <w:rPr>
          <w:rStyle w:val="FootnoteReference"/>
        </w:rPr>
        <w:footnoteReference w:id="2"/>
      </w:r>
      <w:r>
        <w:t xml:space="preserve">  </w:t>
      </w:r>
    </w:p>
    <w:p w:rsidR="000B6DF7" w:rsidRDefault="000B6DF7" w:rsidP="000B6DF7"/>
    <w:p w:rsidR="00F95649" w:rsidRDefault="00F95649" w:rsidP="00960415">
      <w:pPr>
        <w:pStyle w:val="FSBullet"/>
        <w:numPr>
          <w:ilvl w:val="0"/>
          <w:numId w:val="29"/>
        </w:numPr>
        <w:ind w:left="567" w:hanging="567"/>
      </w:pPr>
      <w:r>
        <w:t>TFA are not restricted to foods containing significant proportions of industrially produced oils and fats, or where the fat source is of ruminant origin. Both the NSW and FSANZ data show</w:t>
      </w:r>
      <w:r w:rsidR="009E531A">
        <w:t>ed</w:t>
      </w:r>
      <w:r>
        <w:t xml:space="preserve"> that TFA can occur in unprocessed foods such as chicken, fish and eggs, and in low fat foods such as pastas, buns and breads. However, TFA levels in those foods tended to be lower, both on a fat basis and a mass basis, than in those foods generally considered to be sources of TFA.</w:t>
      </w:r>
    </w:p>
    <w:p w:rsidR="00F95649" w:rsidRDefault="00F95649" w:rsidP="00960415">
      <w:pPr>
        <w:pStyle w:val="FSBullet"/>
        <w:numPr>
          <w:ilvl w:val="0"/>
          <w:numId w:val="0"/>
        </w:numPr>
        <w:ind w:left="567" w:hanging="567"/>
      </w:pPr>
    </w:p>
    <w:p w:rsidR="000B6DF7" w:rsidRDefault="000B6DF7" w:rsidP="00960415">
      <w:pPr>
        <w:pStyle w:val="FSBullet"/>
      </w:pPr>
      <w:r>
        <w:t>F</w:t>
      </w:r>
      <w:r w:rsidRPr="004D3EAD">
        <w:t>oods containing ruminant fat, including milk, yoghurt, cream a</w:t>
      </w:r>
      <w:r>
        <w:t>nd ice cream contained TFA</w:t>
      </w:r>
      <w:r w:rsidR="00F84126">
        <w:t>s at</w:t>
      </w:r>
      <w:r w:rsidR="00EF41C7">
        <w:t xml:space="preserve"> mean concentrations of</w:t>
      </w:r>
      <w:r w:rsidR="00F84126">
        <w:t xml:space="preserve"> around 2 g/</w:t>
      </w:r>
      <w:r>
        <w:t>100 g fat</w:t>
      </w:r>
      <w:r w:rsidRPr="004D3EAD">
        <w:t>. Higher levels were found in Aus</w:t>
      </w:r>
      <w:r w:rsidR="003511AE">
        <w:t>tralian butter (5 g/1</w:t>
      </w:r>
      <w:r>
        <w:t>00 g fat</w:t>
      </w:r>
      <w:r w:rsidRPr="004D3EAD">
        <w:t>) and some</w:t>
      </w:r>
      <w:r>
        <w:t xml:space="preserve"> c</w:t>
      </w:r>
      <w:r w:rsidR="00F84126">
        <w:t>heeses (up to approximately 5 g/</w:t>
      </w:r>
      <w:r>
        <w:t>100 g</w:t>
      </w:r>
      <w:r w:rsidRPr="004D3EAD">
        <w:t xml:space="preserve"> </w:t>
      </w:r>
      <w:r>
        <w:t xml:space="preserve">fat </w:t>
      </w:r>
      <w:r w:rsidRPr="004D3EAD">
        <w:t>in cottage cheese). Beef and lamb also contained TFA</w:t>
      </w:r>
      <w:r w:rsidR="00F84126">
        <w:t>s</w:t>
      </w:r>
      <w:r w:rsidRPr="004D3EAD">
        <w:t xml:space="preserve"> a</w:t>
      </w:r>
      <w:r>
        <w:t xml:space="preserve">t </w:t>
      </w:r>
      <w:r w:rsidR="00EF41C7">
        <w:t xml:space="preserve">mean </w:t>
      </w:r>
      <w:r>
        <w:t>concentr</w:t>
      </w:r>
      <w:r w:rsidR="00F84126">
        <w:t>ations of between 1.4 and 2.5 g/</w:t>
      </w:r>
      <w:r>
        <w:t>100 g fat</w:t>
      </w:r>
      <w:r w:rsidRPr="004D3EAD">
        <w:t xml:space="preserve">. </w:t>
      </w:r>
    </w:p>
    <w:p w:rsidR="000B6DF7" w:rsidRDefault="000B6DF7" w:rsidP="00960415">
      <w:pPr>
        <w:pStyle w:val="FSBullet"/>
        <w:numPr>
          <w:ilvl w:val="0"/>
          <w:numId w:val="0"/>
        </w:numPr>
        <w:ind w:left="567" w:hanging="567"/>
      </w:pPr>
    </w:p>
    <w:p w:rsidR="00960415" w:rsidRDefault="000B6DF7" w:rsidP="00960415">
      <w:pPr>
        <w:pStyle w:val="FSBullet"/>
      </w:pPr>
      <w:r w:rsidRPr="004D3EAD">
        <w:t>Other products more likely to contain industrially produced TFA</w:t>
      </w:r>
      <w:r w:rsidR="00F84126">
        <w:t>s</w:t>
      </w:r>
      <w:r w:rsidRPr="004D3EAD">
        <w:t xml:space="preserve"> included edible oil spreads and oils used for deep frying, which contained </w:t>
      </w:r>
      <w:r w:rsidR="00EF41C7">
        <w:t xml:space="preserve">mean </w:t>
      </w:r>
      <w:r w:rsidRPr="004D3EAD">
        <w:t xml:space="preserve">TFA concentrations of   approximately 3 </w:t>
      </w:r>
      <w:r w:rsidR="00F84126">
        <w:t>g/</w:t>
      </w:r>
      <w:r>
        <w:t>100 g</w:t>
      </w:r>
      <w:r w:rsidRPr="004D3EAD">
        <w:t xml:space="preserve"> fat. Fried foods including hot potato chips and fries generally had </w:t>
      </w:r>
      <w:r w:rsidR="009E531A">
        <w:t xml:space="preserve">mean </w:t>
      </w:r>
      <w:r w:rsidRPr="004D3EAD">
        <w:t>TFA concentrations ran</w:t>
      </w:r>
      <w:r>
        <w:t>g</w:t>
      </w:r>
      <w:r w:rsidR="00F84126">
        <w:t>ing from approximately 2 to 6 g/</w:t>
      </w:r>
      <w:r>
        <w:t xml:space="preserve">100 g </w:t>
      </w:r>
      <w:r w:rsidRPr="004D3EAD">
        <w:t xml:space="preserve">fat. Pizza and fish (fresh and canned) contained TFA </w:t>
      </w:r>
      <w:r w:rsidR="009E531A">
        <w:t xml:space="preserve">at mean </w:t>
      </w:r>
      <w:r w:rsidRPr="004D3EAD">
        <w:t>conc</w:t>
      </w:r>
      <w:r>
        <w:t>e</w:t>
      </w:r>
      <w:r w:rsidR="00F84126">
        <w:t>ntrations of approximately 2.5g/</w:t>
      </w:r>
      <w:r>
        <w:t>100 g</w:t>
      </w:r>
      <w:r w:rsidRPr="004D3EAD">
        <w:t xml:space="preserve"> fat. </w:t>
      </w:r>
    </w:p>
    <w:p w:rsidR="00960415" w:rsidRDefault="00960415" w:rsidP="00960415">
      <w:pPr>
        <w:pStyle w:val="FSBullet"/>
        <w:numPr>
          <w:ilvl w:val="0"/>
          <w:numId w:val="0"/>
        </w:numPr>
        <w:ind w:left="567" w:hanging="567"/>
      </w:pPr>
    </w:p>
    <w:p w:rsidR="000B6DF7" w:rsidRDefault="000B6DF7" w:rsidP="00960415">
      <w:pPr>
        <w:pStyle w:val="FSBullet"/>
      </w:pPr>
      <w:r w:rsidRPr="001B56B8">
        <w:t>Dietary exposure assessment showed that for Australians, the percent contributions from ruminant, manufactured and mixed sources of TFA</w:t>
      </w:r>
      <w:r w:rsidR="00F84126">
        <w:t>s</w:t>
      </w:r>
      <w:r w:rsidRPr="001B56B8">
        <w:t xml:space="preserve"> were 60%, 24%, and 16% respectively. Between 8</w:t>
      </w:r>
      <w:r w:rsidR="003543E2">
        <w:t>‒</w:t>
      </w:r>
      <w:r w:rsidRPr="001B56B8">
        <w:t xml:space="preserve">24% of TFA intake </w:t>
      </w:r>
      <w:r>
        <w:t>was estimated to come from take</w:t>
      </w:r>
      <w:r w:rsidR="003543E2">
        <w:t>away foods and between 46‒</w:t>
      </w:r>
      <w:r w:rsidRPr="001B56B8">
        <w:t xml:space="preserve">84% of TFA intake was estimated to come from foods with a food label. </w:t>
      </w:r>
      <w:r w:rsidRPr="005D408B">
        <w:t>The contributions of TFA</w:t>
      </w:r>
      <w:r w:rsidR="00F84126">
        <w:t>s</w:t>
      </w:r>
      <w:r w:rsidRPr="005D408B">
        <w:t xml:space="preserve"> to energy intakes of Australians and New Zealanders were 0.6%</w:t>
      </w:r>
      <w:r>
        <w:t xml:space="preserve"> </w:t>
      </w:r>
      <w:r w:rsidRPr="005D408B">
        <w:t>and 0.7% of total energy intake</w:t>
      </w:r>
      <w:r>
        <w:t>,</w:t>
      </w:r>
      <w:r w:rsidRPr="005D408B">
        <w:t xml:space="preserve"> respectively and therefore below the goal of no more than 1%</w:t>
      </w:r>
      <w:r>
        <w:t xml:space="preserve"> </w:t>
      </w:r>
      <w:r w:rsidRPr="005D408B">
        <w:t>proposed by the WHO. These estimates were comparable to, or lower than, reported TFA</w:t>
      </w:r>
      <w:r>
        <w:t xml:space="preserve"> </w:t>
      </w:r>
      <w:r w:rsidRPr="005D408B">
        <w:t>contribution to total energy intake estimates from other countries.</w:t>
      </w:r>
    </w:p>
    <w:p w:rsidR="000B6DF7" w:rsidRPr="005D408B" w:rsidRDefault="000B6DF7" w:rsidP="008E314D">
      <w:pPr>
        <w:pStyle w:val="Heading2"/>
      </w:pPr>
      <w:bookmarkStart w:id="15" w:name="_Toc387832024"/>
      <w:bookmarkStart w:id="16" w:name="_Toc389652003"/>
      <w:r>
        <w:t>5.2</w:t>
      </w:r>
      <w:r>
        <w:tab/>
      </w:r>
      <w:r w:rsidR="00EF39D5">
        <w:t>Review report</w:t>
      </w:r>
      <w:r w:rsidR="0090183C">
        <w:t>—</w:t>
      </w:r>
      <w:r w:rsidR="00EF39D5" w:rsidRPr="0090183C">
        <w:t>Trans</w:t>
      </w:r>
      <w:r w:rsidRPr="005D408B">
        <w:t xml:space="preserve"> fatty acids in</w:t>
      </w:r>
      <w:r w:rsidR="00EF39D5">
        <w:t xml:space="preserve"> the</w:t>
      </w:r>
      <w:r w:rsidRPr="005D408B">
        <w:t xml:space="preserve"> New Zeal</w:t>
      </w:r>
      <w:r>
        <w:t>and and Australia</w:t>
      </w:r>
      <w:r w:rsidR="00EF39D5">
        <w:t xml:space="preserve"> food supply (FSANZ 2009)</w:t>
      </w:r>
      <w:bookmarkEnd w:id="15"/>
      <w:bookmarkEnd w:id="16"/>
    </w:p>
    <w:p w:rsidR="009E531A" w:rsidRDefault="000B6DF7" w:rsidP="009E531A">
      <w:r w:rsidRPr="004D3EAD">
        <w:t xml:space="preserve">A follow up to the 2007 review report was </w:t>
      </w:r>
      <w:r>
        <w:t>prepared by FSANZ in 2009</w:t>
      </w:r>
      <w:r w:rsidRPr="004D3EAD">
        <w:t xml:space="preserve">. </w:t>
      </w:r>
      <w:r>
        <w:t>This review drew on analytical data from the 2008</w:t>
      </w:r>
      <w:r w:rsidR="0090183C">
        <w:rPr>
          <w:rFonts w:cs="Arial"/>
        </w:rPr>
        <w:t>‒</w:t>
      </w:r>
      <w:r>
        <w:t xml:space="preserve">09 survey </w:t>
      </w:r>
      <w:r w:rsidR="009E531A">
        <w:t xml:space="preserve">conducted under the coordinated food survey plan (CFSP) of the </w:t>
      </w:r>
      <w:r w:rsidR="0090183C">
        <w:t xml:space="preserve">(then) </w:t>
      </w:r>
      <w:r w:rsidR="009E531A">
        <w:t>Implementation Sub Committee of the Food Regulation S</w:t>
      </w:r>
      <w:r w:rsidR="00907161">
        <w:t>tanding</w:t>
      </w:r>
      <w:r w:rsidR="009E531A">
        <w:t xml:space="preserve"> Committee (FRSC) with participation from food regulatory jurisdictions NSW, SA, WA and New Zealand. The survey was managed by the NSW </w:t>
      </w:r>
      <w:r w:rsidR="007F55C9">
        <w:t xml:space="preserve">FA. </w:t>
      </w:r>
    </w:p>
    <w:p w:rsidR="009E531A" w:rsidRDefault="009E531A" w:rsidP="009E531A"/>
    <w:p w:rsidR="007F55C9" w:rsidRDefault="009E531A" w:rsidP="007F55C9">
      <w:r>
        <w:t xml:space="preserve">The analytical survey examined 456 samples of takeaway and processed foods collected from a range of supermarkets and takeaway shops in NSW, SA, WA and New Zealand. Samples were analysed for total fat, SFA, </w:t>
      </w:r>
      <w:r w:rsidR="00F74FF8">
        <w:t>polyunsaturated fatty acids (</w:t>
      </w:r>
      <w:r>
        <w:t>PUFA</w:t>
      </w:r>
      <w:r w:rsidR="00F74FF8">
        <w:t>)</w:t>
      </w:r>
      <w:r>
        <w:t xml:space="preserve">, </w:t>
      </w:r>
      <w:r w:rsidR="00F74FF8" w:rsidRPr="00F74FF8">
        <w:t xml:space="preserve">monounsaturated fatty acids </w:t>
      </w:r>
      <w:r w:rsidR="00F74FF8">
        <w:t>(</w:t>
      </w:r>
      <w:r>
        <w:t>MUFA</w:t>
      </w:r>
      <w:r w:rsidR="00F74FF8">
        <w:t>)</w:t>
      </w:r>
      <w:r>
        <w:t xml:space="preserve"> and TFA concentrations. </w:t>
      </w:r>
      <w:r w:rsidR="007F55C9">
        <w:t>The range of food categories tested in the survey included takeaway foods, fats and oils, snack foods, meat products, and bakery products.</w:t>
      </w:r>
    </w:p>
    <w:p w:rsidR="0099467A" w:rsidRDefault="0099467A" w:rsidP="007F55C9"/>
    <w:p w:rsidR="009E531A" w:rsidRDefault="007F55C9" w:rsidP="009E531A">
      <w:r>
        <w:t xml:space="preserve">The results of the survey showed that TFA concentrations in Australian and New Zealand </w:t>
      </w:r>
      <w:r w:rsidR="00DC08C2">
        <w:lastRenderedPageBreak/>
        <w:t xml:space="preserve">foods </w:t>
      </w:r>
      <w:r>
        <w:t>were generally low. Twenty-</w:t>
      </w:r>
      <w:r w:rsidR="009E531A">
        <w:t xml:space="preserve">eight percent of samples did not contain detectable levels of </w:t>
      </w:r>
      <w:r w:rsidR="00D65247">
        <w:t>TFA</w:t>
      </w:r>
      <w:r w:rsidR="009E531A">
        <w:t xml:space="preserve">, 40% contained levels below 2 g </w:t>
      </w:r>
      <w:r w:rsidR="00D65247">
        <w:t>TFA</w:t>
      </w:r>
      <w:r w:rsidR="009E531A">
        <w:t>/100 g of fat, and 32% containe</w:t>
      </w:r>
      <w:r>
        <w:t xml:space="preserve">d more than 2 g </w:t>
      </w:r>
      <w:r w:rsidR="00D65247">
        <w:t>TFA</w:t>
      </w:r>
      <w:r>
        <w:t xml:space="preserve">/100 g fat. </w:t>
      </w:r>
      <w:r w:rsidR="009E531A">
        <w:t xml:space="preserve">Many of this latter group of foods were those that contained both ruminant and manufactured </w:t>
      </w:r>
      <w:r w:rsidR="00D65247">
        <w:t>TFA</w:t>
      </w:r>
      <w:r w:rsidR="009E531A">
        <w:t>, such as meat pies and pizzas.</w:t>
      </w:r>
    </w:p>
    <w:p w:rsidR="00960415" w:rsidRDefault="00960415" w:rsidP="000B6DF7">
      <w:pPr>
        <w:rPr>
          <w:rFonts w:cs="Arial"/>
        </w:rPr>
      </w:pPr>
    </w:p>
    <w:p w:rsidR="000B6DF7" w:rsidRPr="00237D20" w:rsidRDefault="000B6DF7" w:rsidP="000B6DF7">
      <w:pPr>
        <w:rPr>
          <w:rFonts w:cs="Arial"/>
        </w:rPr>
      </w:pPr>
      <w:r w:rsidRPr="00237D20">
        <w:rPr>
          <w:rFonts w:cs="Arial"/>
        </w:rPr>
        <w:t xml:space="preserve">The key findings from the </w:t>
      </w:r>
      <w:r w:rsidR="005E5F1C">
        <w:rPr>
          <w:rFonts w:cs="Arial"/>
        </w:rPr>
        <w:t xml:space="preserve">2009 FSANZ </w:t>
      </w:r>
      <w:r w:rsidRPr="00237D20">
        <w:rPr>
          <w:rFonts w:cs="Arial"/>
        </w:rPr>
        <w:t>asse</w:t>
      </w:r>
      <w:r>
        <w:rPr>
          <w:rFonts w:cs="Arial"/>
        </w:rPr>
        <w:t>ssment of intakes of TFA</w:t>
      </w:r>
      <w:r w:rsidR="00F84126">
        <w:rPr>
          <w:rFonts w:cs="Arial"/>
        </w:rPr>
        <w:t>s</w:t>
      </w:r>
      <w:r>
        <w:rPr>
          <w:rFonts w:cs="Arial"/>
        </w:rPr>
        <w:t xml:space="preserve"> and SFA</w:t>
      </w:r>
      <w:r w:rsidR="00F84126">
        <w:rPr>
          <w:rFonts w:cs="Arial"/>
        </w:rPr>
        <w:t>s</w:t>
      </w:r>
      <w:r>
        <w:rPr>
          <w:rFonts w:cs="Arial"/>
        </w:rPr>
        <w:t xml:space="preserve"> were</w:t>
      </w:r>
      <w:r w:rsidRPr="00237D20">
        <w:rPr>
          <w:rFonts w:cs="Arial"/>
        </w:rPr>
        <w:t>:</w:t>
      </w:r>
      <w:r w:rsidR="00187960">
        <w:rPr>
          <w:rStyle w:val="FootnoteReference"/>
          <w:rFonts w:cs="Arial"/>
        </w:rPr>
        <w:footnoteReference w:id="3"/>
      </w:r>
      <w:r w:rsidRPr="00237D20">
        <w:rPr>
          <w:rFonts w:cs="Arial"/>
        </w:rPr>
        <w:t xml:space="preserve"> </w:t>
      </w:r>
    </w:p>
    <w:p w:rsidR="000B6DF7" w:rsidRPr="00237D20" w:rsidRDefault="000B6DF7" w:rsidP="00960415">
      <w:pPr>
        <w:pStyle w:val="FSBullet"/>
        <w:numPr>
          <w:ilvl w:val="0"/>
          <w:numId w:val="0"/>
        </w:numPr>
      </w:pPr>
    </w:p>
    <w:p w:rsidR="000B6DF7" w:rsidRDefault="000B6DF7" w:rsidP="006617A3">
      <w:pPr>
        <w:pStyle w:val="FSBullet"/>
      </w:pPr>
      <w:r>
        <w:t>Mean</w:t>
      </w:r>
      <w:r w:rsidRPr="00237D20">
        <w:t xml:space="preserve"> TFA intake from both ruminant and manufactured sources was estimated to be 0.5</w:t>
      </w:r>
      <w:r w:rsidR="00DD7796">
        <w:t>–</w:t>
      </w:r>
      <w:r w:rsidRPr="00237D20">
        <w:t>0.6% of total dietary energy, with more than 90% of Australians and more than 85% of New Zealanders having TFA intakes below 1% of energy. This</w:t>
      </w:r>
      <w:r>
        <w:t xml:space="preserve"> represented a decrease of approximately 0.1% from the previous 2007 review. </w:t>
      </w:r>
    </w:p>
    <w:p w:rsidR="005E5F1C" w:rsidRPr="005E5F1C" w:rsidRDefault="005E5F1C" w:rsidP="005E5F1C"/>
    <w:p w:rsidR="000B6DF7" w:rsidRDefault="000B6DF7" w:rsidP="005E5F1C">
      <w:pPr>
        <w:pStyle w:val="FSBullet"/>
      </w:pPr>
      <w:r>
        <w:t>A much higher proportion, around 90</w:t>
      </w:r>
      <w:r w:rsidR="00DD7796">
        <w:t>–</w:t>
      </w:r>
      <w:r>
        <w:t>95% of Australian and 97% of New Zealander consumers exceeded the National Health and Medical Research Council (NHMRC) Acceptable Macronutrient Distribution Range (AMDR) for TFA plus SFA intake as a percentage of energy. M</w:t>
      </w:r>
      <w:r w:rsidR="00DD7796">
        <w:t>ean TFA plus SFA intake was 1.4–</w:t>
      </w:r>
      <w:r>
        <w:t>1.6 times the upper end of the range for this guideline value (8</w:t>
      </w:r>
      <w:r w:rsidR="00997A2F">
        <w:t>–</w:t>
      </w:r>
      <w:r>
        <w:t xml:space="preserve">10% of energy). </w:t>
      </w:r>
    </w:p>
    <w:p w:rsidR="005E5F1C" w:rsidRPr="005E5F1C" w:rsidRDefault="005E5F1C" w:rsidP="005E5F1C"/>
    <w:p w:rsidR="000B6DF7" w:rsidRPr="0044188A" w:rsidRDefault="000B6DF7" w:rsidP="000B6DF7">
      <w:r>
        <w:t>P</w:t>
      </w:r>
      <w:r w:rsidRPr="0044188A">
        <w:t>rogress in voluntary initiatives in Australia t</w:t>
      </w:r>
      <w:r>
        <w:t>o reduce TFA</w:t>
      </w:r>
      <w:r w:rsidR="00F84126">
        <w:t>s</w:t>
      </w:r>
      <w:r>
        <w:t xml:space="preserve"> in the food supply was also noted in the 2009 review: </w:t>
      </w:r>
    </w:p>
    <w:p w:rsidR="000B6DF7" w:rsidRPr="0044188A" w:rsidRDefault="000B6DF7" w:rsidP="000B6DF7"/>
    <w:p w:rsidR="000B6DF7" w:rsidRDefault="000B6DF7" w:rsidP="006617A3">
      <w:pPr>
        <w:pStyle w:val="FSBullet"/>
      </w:pPr>
      <w:r>
        <w:t>The majority of respondents had</w:t>
      </w:r>
      <w:r w:rsidRPr="0044188A">
        <w:t xml:space="preserve"> plans in place to manage TFA levels in their</w:t>
      </w:r>
      <w:r>
        <w:t xml:space="preserve"> </w:t>
      </w:r>
      <w:r w:rsidRPr="0044188A">
        <w:t>products.</w:t>
      </w:r>
    </w:p>
    <w:p w:rsidR="006617A3" w:rsidRPr="006617A3" w:rsidRDefault="006617A3" w:rsidP="006617A3"/>
    <w:p w:rsidR="000B6DF7" w:rsidRDefault="000B6DF7" w:rsidP="006617A3">
      <w:pPr>
        <w:pStyle w:val="FSBullet"/>
      </w:pPr>
      <w:r w:rsidRPr="0044188A">
        <w:t xml:space="preserve">Several companies reported that no further reductions in TFA levels </w:t>
      </w:r>
      <w:r>
        <w:t>were</w:t>
      </w:r>
      <w:r w:rsidRPr="0044188A">
        <w:t xml:space="preserve"> possible. </w:t>
      </w:r>
    </w:p>
    <w:p w:rsidR="000B6DF7" w:rsidRPr="0044188A" w:rsidRDefault="000B6DF7" w:rsidP="006617A3">
      <w:pPr>
        <w:pStyle w:val="FSBullet"/>
        <w:numPr>
          <w:ilvl w:val="0"/>
          <w:numId w:val="0"/>
        </w:numPr>
        <w:ind w:left="567"/>
      </w:pPr>
    </w:p>
    <w:p w:rsidR="000B6DF7" w:rsidRDefault="000B6DF7" w:rsidP="006617A3">
      <w:pPr>
        <w:pStyle w:val="FSBullet"/>
      </w:pPr>
      <w:r w:rsidRPr="0044188A">
        <w:t>Companies have implemented a range of activities to reduce TFA levels, including replacement of high TFA oils with new oil blends with very low manufactured TFA levels.</w:t>
      </w:r>
    </w:p>
    <w:p w:rsidR="000B6DF7" w:rsidRPr="0044188A" w:rsidRDefault="000B6DF7" w:rsidP="006617A3">
      <w:pPr>
        <w:pStyle w:val="FSBullet"/>
        <w:numPr>
          <w:ilvl w:val="0"/>
          <w:numId w:val="0"/>
        </w:numPr>
        <w:ind w:left="567"/>
      </w:pPr>
    </w:p>
    <w:p w:rsidR="000B6DF7" w:rsidRDefault="000B6DF7" w:rsidP="006617A3">
      <w:pPr>
        <w:pStyle w:val="FSBullet"/>
      </w:pPr>
      <w:r w:rsidRPr="0044188A">
        <w:t>Several manufacturers have reduced TFA</w:t>
      </w:r>
      <w:r w:rsidR="00F84126">
        <w:t>s</w:t>
      </w:r>
      <w:r w:rsidRPr="0044188A">
        <w:t xml:space="preserve"> to minimum levels (e.g. less than 0.5 </w:t>
      </w:r>
      <w:r w:rsidR="006617A3">
        <w:t xml:space="preserve">g/100 g </w:t>
      </w:r>
      <w:r w:rsidRPr="0044188A">
        <w:t>food).</w:t>
      </w:r>
    </w:p>
    <w:p w:rsidR="000B6DF7" w:rsidRPr="008234DB" w:rsidRDefault="000E4128" w:rsidP="000B6DF7">
      <w:pPr>
        <w:pStyle w:val="Heading1"/>
      </w:pPr>
      <w:bookmarkStart w:id="17" w:name="_Toc377542971"/>
      <w:bookmarkStart w:id="18" w:name="_Toc387832025"/>
      <w:bookmarkStart w:id="19" w:name="_Toc389652004"/>
      <w:r>
        <w:t>6</w:t>
      </w:r>
      <w:r>
        <w:tab/>
      </w:r>
      <w:r w:rsidR="000B6DF7" w:rsidRPr="008234DB">
        <w:t>Methodology</w:t>
      </w:r>
      <w:bookmarkEnd w:id="17"/>
      <w:bookmarkEnd w:id="18"/>
      <w:bookmarkEnd w:id="19"/>
    </w:p>
    <w:p w:rsidR="000B6DF7" w:rsidRPr="008234DB" w:rsidRDefault="000E4128" w:rsidP="008E314D">
      <w:pPr>
        <w:pStyle w:val="Heading2"/>
      </w:pPr>
      <w:bookmarkStart w:id="20" w:name="_Toc387832026"/>
      <w:bookmarkStart w:id="21" w:name="_Toc389652005"/>
      <w:r>
        <w:t>6.1</w:t>
      </w:r>
      <w:r>
        <w:tab/>
      </w:r>
      <w:r w:rsidR="000B6DF7" w:rsidRPr="00B96E39">
        <w:t>Sample</w:t>
      </w:r>
      <w:r w:rsidR="000B6DF7">
        <w:t xml:space="preserve"> c</w:t>
      </w:r>
      <w:r w:rsidR="000B6DF7" w:rsidRPr="008234DB">
        <w:t>ollection</w:t>
      </w:r>
      <w:bookmarkEnd w:id="20"/>
      <w:bookmarkEnd w:id="21"/>
    </w:p>
    <w:p w:rsidR="000B6DF7" w:rsidRDefault="0090183C" w:rsidP="000B6DF7">
      <w:r>
        <w:t xml:space="preserve">For this survey, a </w:t>
      </w:r>
      <w:r w:rsidR="000B6DF7" w:rsidRPr="008234DB">
        <w:t>total of 500 samples of takeaway and processed foods were colle</w:t>
      </w:r>
      <w:r w:rsidR="000B6DF7">
        <w:t xml:space="preserve">cted from independent retailers, </w:t>
      </w:r>
      <w:r w:rsidR="000B6DF7" w:rsidRPr="008234DB">
        <w:t xml:space="preserve">supermarkets and takeaway shops in </w:t>
      </w:r>
      <w:r w:rsidR="00DD7796">
        <w:t>NSW</w:t>
      </w:r>
      <w:r w:rsidR="000B6DF7" w:rsidRPr="008234DB">
        <w:t>, Western Australia</w:t>
      </w:r>
      <w:r w:rsidR="00DD7796">
        <w:t xml:space="preserve"> (WA)</w:t>
      </w:r>
      <w:r w:rsidR="000B6DF7" w:rsidRPr="008234DB">
        <w:t>, New Zealand, South Australia</w:t>
      </w:r>
      <w:r w:rsidR="00DD7796">
        <w:t xml:space="preserve"> (SA)</w:t>
      </w:r>
      <w:r w:rsidR="000B6DF7" w:rsidRPr="008234DB">
        <w:t>, Tasmania, Queensland and Victoria, over a two week period i</w:t>
      </w:r>
      <w:r w:rsidR="000B6DF7">
        <w:t>n October 2013 (refer to Table 1</w:t>
      </w:r>
      <w:r w:rsidR="000B6DF7" w:rsidRPr="008234DB">
        <w:t xml:space="preserve">). </w:t>
      </w:r>
    </w:p>
    <w:p w:rsidR="000B6DF7" w:rsidRDefault="000B6DF7" w:rsidP="000B6DF7"/>
    <w:p w:rsidR="000B6DF7" w:rsidRDefault="000B6DF7" w:rsidP="000B6DF7">
      <w:r w:rsidRPr="0089148A">
        <w:t xml:space="preserve">Samples (200 g edible portion, or 200 mL volume) were selected to include </w:t>
      </w:r>
      <w:r w:rsidR="0090183C">
        <w:t>different</w:t>
      </w:r>
      <w:r w:rsidRPr="0089148A">
        <w:t xml:space="preserve"> quality </w:t>
      </w:r>
      <w:r w:rsidR="0090183C">
        <w:t xml:space="preserve">products and different prices in </w:t>
      </w:r>
      <w:r w:rsidRPr="0089148A">
        <w:t xml:space="preserve">each </w:t>
      </w:r>
      <w:r>
        <w:t>product category</w:t>
      </w:r>
      <w:r w:rsidRPr="0089148A">
        <w:t xml:space="preserve">, from lower priced </w:t>
      </w:r>
      <w:r w:rsidR="006A1F64">
        <w:t>private label</w:t>
      </w:r>
      <w:r w:rsidRPr="0089148A">
        <w:t xml:space="preserve"> products to more expensive products. Samples were packaged and </w:t>
      </w:r>
      <w:r w:rsidR="00964A6E">
        <w:t xml:space="preserve">sent </w:t>
      </w:r>
      <w:r w:rsidRPr="0089148A">
        <w:t xml:space="preserve">to the laboratory in a way </w:t>
      </w:r>
      <w:r w:rsidR="00964A6E">
        <w:t xml:space="preserve">that avoided </w:t>
      </w:r>
      <w:r w:rsidRPr="0089148A">
        <w:t>leakage or cross contamination between samples. Foods requiring refrigeration (e.g. takeaway) were maintained in a chilled state during storage, packaging and transportation.</w:t>
      </w:r>
    </w:p>
    <w:p w:rsidR="00870C90" w:rsidRDefault="00870C90" w:rsidP="000B6DF7"/>
    <w:p w:rsidR="00C052C0" w:rsidRDefault="00C052C0" w:rsidP="00C052C0">
      <w:r w:rsidRPr="008234DB">
        <w:t xml:space="preserve">The sampling plan </w:t>
      </w:r>
      <w:r>
        <w:t xml:space="preserve">attempted to </w:t>
      </w:r>
      <w:r w:rsidRPr="008234DB">
        <w:t>reflect food products and categories sampled in 200</w:t>
      </w:r>
      <w:r>
        <w:t>8</w:t>
      </w:r>
      <w:r w:rsidR="00964A6E">
        <w:rPr>
          <w:rFonts w:cs="Arial"/>
        </w:rPr>
        <w:t>‒</w:t>
      </w:r>
      <w:r>
        <w:t>0</w:t>
      </w:r>
      <w:r w:rsidRPr="008234DB">
        <w:t xml:space="preserve">9 to facilitate a direct comparison of TFA levels where possible. However, some modifications to </w:t>
      </w:r>
      <w:r w:rsidRPr="008234DB">
        <w:lastRenderedPageBreak/>
        <w:t>the 200</w:t>
      </w:r>
      <w:r>
        <w:t>8</w:t>
      </w:r>
      <w:r w:rsidR="00964A6E">
        <w:rPr>
          <w:rFonts w:cs="Arial"/>
        </w:rPr>
        <w:t>‒</w:t>
      </w:r>
      <w:r>
        <w:t>0</w:t>
      </w:r>
      <w:r w:rsidRPr="008234DB">
        <w:t xml:space="preserve">9 sampling plan were made </w:t>
      </w:r>
      <w:r w:rsidR="00964A6E">
        <w:t>based on</w:t>
      </w:r>
      <w:r w:rsidRPr="008234DB">
        <w:t xml:space="preserve"> previous results to remove foods that contributed only a low amount of total fat to the diet, and to reduce unnecessary duplication of samples. Some foods were also added to the sampling plan where the </w:t>
      </w:r>
      <w:r>
        <w:t>2013 FSANZ industry</w:t>
      </w:r>
      <w:r w:rsidRPr="008234DB">
        <w:t xml:space="preserve"> survey or international studies identified </w:t>
      </w:r>
      <w:r>
        <w:t>that these foods were</w:t>
      </w:r>
      <w:r w:rsidRPr="008234DB">
        <w:t xml:space="preserve"> high in total fat and TFA</w:t>
      </w:r>
      <w:r w:rsidR="00633C75">
        <w:t>s</w:t>
      </w:r>
      <w:r w:rsidRPr="008234DB">
        <w:t>.</w:t>
      </w:r>
      <w:r>
        <w:t xml:space="preserve"> </w:t>
      </w:r>
    </w:p>
    <w:p w:rsidR="00C052C0" w:rsidRDefault="00C052C0" w:rsidP="00C052C0"/>
    <w:p w:rsidR="00C052C0" w:rsidRDefault="00C052C0" w:rsidP="00C052C0">
      <w:r>
        <w:t>For instance, s</w:t>
      </w:r>
      <w:r w:rsidRPr="009F11BF">
        <w:t xml:space="preserve">ome </w:t>
      </w:r>
      <w:r>
        <w:t>product categories</w:t>
      </w:r>
      <w:r w:rsidRPr="009F11BF">
        <w:t xml:space="preserve"> from the 2008</w:t>
      </w:r>
      <w:r w:rsidR="00964A6E">
        <w:rPr>
          <w:rFonts w:cs="Arial"/>
        </w:rPr>
        <w:t>‒</w:t>
      </w:r>
      <w:r w:rsidRPr="009F11BF">
        <w:t xml:space="preserve">09 survey were removed from sampling in the 2013 survey due to </w:t>
      </w:r>
      <w:r>
        <w:t xml:space="preserve">their overall low levels of fat; </w:t>
      </w:r>
      <w:r w:rsidR="00964A6E">
        <w:t xml:space="preserve">as these would also </w:t>
      </w:r>
      <w:r>
        <w:t xml:space="preserve">have contained </w:t>
      </w:r>
      <w:r w:rsidRPr="009F11BF">
        <w:t>low levels</w:t>
      </w:r>
      <w:r>
        <w:t xml:space="preserve"> of TFA</w:t>
      </w:r>
      <w:r w:rsidR="00633C75">
        <w:t>s</w:t>
      </w:r>
      <w:r>
        <w:t>. These foods included</w:t>
      </w:r>
      <w:r w:rsidRPr="009F11BF">
        <w:t xml:space="preserve"> corn cakes, dry instant soup, and gravy mix</w:t>
      </w:r>
      <w:r>
        <w:t>es. Other</w:t>
      </w:r>
      <w:r w:rsidRPr="009F11BF">
        <w:t xml:space="preserve"> categories</w:t>
      </w:r>
      <w:r>
        <w:t>, for example dumplings, were</w:t>
      </w:r>
      <w:r w:rsidRPr="009F11BF">
        <w:t xml:space="preserve"> removed because they largely consisted of similar ingredients to a</w:t>
      </w:r>
      <w:r>
        <w:t>nother category of foods and</w:t>
      </w:r>
      <w:r w:rsidRPr="009F11BF">
        <w:t xml:space="preserve"> were not as widely consumed in the population.</w:t>
      </w:r>
      <w:r>
        <w:t xml:space="preserve"> </w:t>
      </w:r>
      <w:r w:rsidRPr="009F11BF">
        <w:t>Some product categories were also widened to capture a greater array of the products available on the market today. These product</w:t>
      </w:r>
      <w:r>
        <w:t xml:space="preserve"> category changes</w:t>
      </w:r>
      <w:r w:rsidRPr="009F11BF">
        <w:t xml:space="preserve"> included chicken nuggets to chicken products, sweet and sour pork to restaurant style takeaway dishes, potato crisps to potato crisps and corn chips, blended edible oil to vegetable oils, custard Danish to custard based products, pikelets to pikelets/pancakes, and muffins to sweet muffins and banana bread.</w:t>
      </w:r>
    </w:p>
    <w:p w:rsidR="00C052C0" w:rsidRDefault="00C052C0" w:rsidP="00C052C0"/>
    <w:p w:rsidR="00C052C0" w:rsidRPr="008234DB" w:rsidRDefault="00C052C0" w:rsidP="00C052C0">
      <w:r w:rsidRPr="008234DB">
        <w:t xml:space="preserve">The range of </w:t>
      </w:r>
      <w:r>
        <w:t>product categories</w:t>
      </w:r>
      <w:r w:rsidRPr="008234DB">
        <w:t xml:space="preserve"> sampled and analysed included: </w:t>
      </w:r>
    </w:p>
    <w:p w:rsidR="00C052C0" w:rsidRPr="008234DB" w:rsidRDefault="00C052C0" w:rsidP="00C052C0"/>
    <w:p w:rsidR="00C052C0" w:rsidRDefault="00C052C0" w:rsidP="00F77ACE">
      <w:pPr>
        <w:widowControl/>
        <w:numPr>
          <w:ilvl w:val="0"/>
          <w:numId w:val="5"/>
        </w:numPr>
        <w:ind w:left="567" w:hanging="567"/>
        <w:contextualSpacing/>
      </w:pPr>
      <w:r w:rsidRPr="008234DB">
        <w:t>Takeaway foods</w:t>
      </w:r>
      <w:r>
        <w:t xml:space="preserve"> – </w:t>
      </w:r>
      <w:r w:rsidRPr="008234DB">
        <w:t>chicken products, crumbed/battered fish fillets, falafels, fried noodle and restaurant style takeaway dishes, hot chips/potato products, pizza and spring rolls.</w:t>
      </w:r>
    </w:p>
    <w:p w:rsidR="00C052C0" w:rsidRPr="008234DB" w:rsidRDefault="00C052C0" w:rsidP="00F77ACE">
      <w:pPr>
        <w:ind w:left="567" w:hanging="567"/>
        <w:contextualSpacing/>
      </w:pPr>
    </w:p>
    <w:p w:rsidR="00C052C0" w:rsidRDefault="00C052C0" w:rsidP="00F77ACE">
      <w:pPr>
        <w:widowControl/>
        <w:numPr>
          <w:ilvl w:val="0"/>
          <w:numId w:val="5"/>
        </w:numPr>
        <w:ind w:left="567" w:hanging="567"/>
        <w:contextualSpacing/>
      </w:pPr>
      <w:r w:rsidRPr="008234DB">
        <w:t>Snack Foods – extruded snacks, popcorn and potato crisps &amp; corn chips.</w:t>
      </w:r>
    </w:p>
    <w:p w:rsidR="00C052C0" w:rsidRPr="008234DB" w:rsidRDefault="00C052C0" w:rsidP="00F77ACE">
      <w:pPr>
        <w:ind w:left="567" w:hanging="567"/>
        <w:contextualSpacing/>
      </w:pPr>
    </w:p>
    <w:p w:rsidR="00C052C0" w:rsidRDefault="00C052C0" w:rsidP="00F77ACE">
      <w:pPr>
        <w:widowControl/>
        <w:numPr>
          <w:ilvl w:val="0"/>
          <w:numId w:val="5"/>
        </w:numPr>
        <w:ind w:left="567" w:hanging="567"/>
        <w:contextualSpacing/>
      </w:pPr>
      <w:r w:rsidRPr="008234DB">
        <w:t xml:space="preserve">Fats and oils – vegetable oils, edible oils spreads and oil based dressings. </w:t>
      </w:r>
    </w:p>
    <w:p w:rsidR="00C052C0" w:rsidRPr="008234DB" w:rsidRDefault="00C052C0" w:rsidP="00F77ACE">
      <w:pPr>
        <w:ind w:left="567" w:hanging="567"/>
        <w:contextualSpacing/>
      </w:pPr>
    </w:p>
    <w:p w:rsidR="00C052C0" w:rsidRDefault="00C052C0" w:rsidP="00F77ACE">
      <w:pPr>
        <w:widowControl/>
        <w:numPr>
          <w:ilvl w:val="0"/>
          <w:numId w:val="5"/>
        </w:numPr>
        <w:ind w:left="567" w:hanging="567"/>
        <w:contextualSpacing/>
      </w:pPr>
      <w:r w:rsidRPr="008234DB">
        <w:t>Meat and meat products – meat pies and sausage rolls.</w:t>
      </w:r>
    </w:p>
    <w:p w:rsidR="00C052C0" w:rsidRPr="008234DB" w:rsidRDefault="00C052C0" w:rsidP="00F77ACE">
      <w:pPr>
        <w:ind w:left="567" w:hanging="567"/>
        <w:contextualSpacing/>
      </w:pPr>
    </w:p>
    <w:p w:rsidR="00C052C0" w:rsidRDefault="00C052C0" w:rsidP="00F77ACE">
      <w:pPr>
        <w:widowControl/>
        <w:numPr>
          <w:ilvl w:val="0"/>
          <w:numId w:val="5"/>
        </w:numPr>
        <w:ind w:left="567" w:hanging="567"/>
        <w:contextualSpacing/>
      </w:pPr>
      <w:r w:rsidRPr="008234DB">
        <w:t xml:space="preserve">Bread and bakery products – croissant, custard baked goods, donuts, various sweet and savoury style biscuits, shelf stable cakes, sweet muffins </w:t>
      </w:r>
      <w:r>
        <w:t>and</w:t>
      </w:r>
      <w:r w:rsidRPr="008234DB">
        <w:t xml:space="preserve"> banana bread, pikelets/pancakes, scones and prepared pastry.</w:t>
      </w:r>
    </w:p>
    <w:p w:rsidR="00C052C0" w:rsidRPr="008234DB" w:rsidRDefault="00C052C0" w:rsidP="00F77ACE">
      <w:pPr>
        <w:ind w:left="567" w:hanging="567"/>
        <w:contextualSpacing/>
      </w:pPr>
    </w:p>
    <w:p w:rsidR="00C052C0" w:rsidRPr="00C052C0" w:rsidRDefault="00C052C0" w:rsidP="00F77ACE">
      <w:pPr>
        <w:widowControl/>
        <w:numPr>
          <w:ilvl w:val="0"/>
          <w:numId w:val="5"/>
        </w:numPr>
        <w:ind w:left="567" w:hanging="567"/>
        <w:contextualSpacing/>
      </w:pPr>
      <w:r w:rsidRPr="008234DB">
        <w:t xml:space="preserve">Others – desserts, toasted style muesli cereal, snack bars, dry mix pasta, sauces, nut based spreads, </w:t>
      </w:r>
      <w:r w:rsidR="00A10C20">
        <w:t>confectionery</w:t>
      </w:r>
      <w:r w:rsidRPr="008234DB">
        <w:t xml:space="preserve"> and dips.</w:t>
      </w:r>
      <w:r w:rsidRPr="00C052C0">
        <w:rPr>
          <w:b/>
        </w:rPr>
        <w:br w:type="page"/>
      </w:r>
    </w:p>
    <w:p w:rsidR="000B6DF7" w:rsidRPr="008234DB" w:rsidRDefault="000B6DF7" w:rsidP="000B6DF7">
      <w:r>
        <w:rPr>
          <w:b/>
        </w:rPr>
        <w:lastRenderedPageBreak/>
        <w:t>Table 1</w:t>
      </w:r>
      <w:r w:rsidR="00850553">
        <w:rPr>
          <w:b/>
        </w:rPr>
        <w:tab/>
      </w:r>
      <w:r w:rsidRPr="006D1098">
        <w:t>Number of food products sampled across different categories</w:t>
      </w:r>
    </w:p>
    <w:tbl>
      <w:tblPr>
        <w:tblStyle w:val="LightList"/>
        <w:tblW w:w="8804" w:type="dxa"/>
        <w:tblLook w:val="04A0" w:firstRow="1" w:lastRow="0" w:firstColumn="1" w:lastColumn="0" w:noHBand="0" w:noVBand="1"/>
      </w:tblPr>
      <w:tblGrid>
        <w:gridCol w:w="2567"/>
        <w:gridCol w:w="4678"/>
        <w:gridCol w:w="1559"/>
      </w:tblGrid>
      <w:tr w:rsidR="000E4128" w:rsidRPr="00F2300F" w:rsidTr="00C052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noWrap/>
            <w:hideMark/>
          </w:tcPr>
          <w:p w:rsidR="000E4128" w:rsidRPr="000E4128" w:rsidRDefault="000E4128" w:rsidP="00C052C0">
            <w:pPr>
              <w:rPr>
                <w:rFonts w:eastAsia="Times New Roman"/>
                <w:b w:val="0"/>
                <w:bCs w:val="0"/>
                <w:sz w:val="18"/>
                <w:szCs w:val="18"/>
                <w:lang w:eastAsia="en-GB"/>
              </w:rPr>
            </w:pPr>
            <w:r w:rsidRPr="000E4128">
              <w:rPr>
                <w:rFonts w:eastAsia="Times New Roman"/>
                <w:sz w:val="18"/>
                <w:szCs w:val="18"/>
                <w:lang w:eastAsia="en-GB"/>
              </w:rPr>
              <w:t>Product category</w:t>
            </w:r>
          </w:p>
        </w:tc>
        <w:tc>
          <w:tcPr>
            <w:tcW w:w="4678" w:type="dxa"/>
            <w:noWrap/>
            <w:hideMark/>
          </w:tcPr>
          <w:p w:rsidR="000E4128" w:rsidRPr="000E4128" w:rsidRDefault="000E4128" w:rsidP="00C052C0">
            <w:pP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eastAsia="en-GB"/>
              </w:rPr>
            </w:pPr>
            <w:r w:rsidRPr="000E4128">
              <w:rPr>
                <w:rFonts w:eastAsia="Times New Roman"/>
                <w:sz w:val="18"/>
                <w:szCs w:val="18"/>
                <w:lang w:eastAsia="en-GB"/>
              </w:rPr>
              <w:t>Product</w:t>
            </w:r>
          </w:p>
        </w:tc>
        <w:tc>
          <w:tcPr>
            <w:tcW w:w="1559" w:type="dxa"/>
            <w:noWrap/>
            <w:hideMark/>
          </w:tcPr>
          <w:p w:rsidR="000E4128" w:rsidRPr="000E4128" w:rsidRDefault="000E4128" w:rsidP="00C052C0">
            <w:pP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eastAsia="en-GB"/>
              </w:rPr>
            </w:pPr>
            <w:r w:rsidRPr="000E4128">
              <w:rPr>
                <w:rFonts w:eastAsia="Times New Roman"/>
                <w:sz w:val="18"/>
                <w:szCs w:val="18"/>
                <w:lang w:eastAsia="en-GB"/>
              </w:rPr>
              <w:t>No of Samples</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val="restart"/>
            <w:noWrap/>
            <w:hideMark/>
          </w:tcPr>
          <w:p w:rsidR="000E4128" w:rsidRPr="000E4128" w:rsidRDefault="000E4128" w:rsidP="00C052C0">
            <w:pPr>
              <w:rPr>
                <w:rFonts w:eastAsia="Times New Roman"/>
                <w:b w:val="0"/>
                <w:bCs w:val="0"/>
                <w:color w:val="000000"/>
                <w:sz w:val="18"/>
                <w:szCs w:val="18"/>
                <w:lang w:eastAsia="en-GB"/>
              </w:rPr>
            </w:pPr>
            <w:r w:rsidRPr="000E4128">
              <w:rPr>
                <w:rFonts w:eastAsia="Times New Roman"/>
                <w:color w:val="000000"/>
                <w:sz w:val="18"/>
                <w:szCs w:val="18"/>
                <w:lang w:eastAsia="en-GB"/>
              </w:rPr>
              <w:t>Takeaway Foods</w:t>
            </w: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Chicken Products</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21</w:t>
            </w:r>
            <w:r w:rsidR="00F477F5">
              <w:rPr>
                <w:rFonts w:eastAsia="Times New Roman"/>
                <w:color w:val="000000"/>
                <w:sz w:val="18"/>
                <w:szCs w:val="18"/>
                <w:lang w:eastAsia="en-GB"/>
              </w:rPr>
              <w:t xml:space="preserve"> (5)</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Crumbed/Battered Fish Fillets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21</w:t>
            </w:r>
            <w:r w:rsidR="00F477F5">
              <w:rPr>
                <w:rFonts w:eastAsia="Times New Roman"/>
                <w:color w:val="000000"/>
                <w:sz w:val="18"/>
                <w:szCs w:val="18"/>
                <w:lang w:eastAsia="en-GB"/>
              </w:rPr>
              <w:t xml:space="preserve"> (5)</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Fried Noodle Dishes</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9</w:t>
            </w:r>
            <w:r w:rsidR="00F477F5">
              <w:rPr>
                <w:rFonts w:eastAsia="Times New Roman"/>
                <w:color w:val="000000"/>
                <w:sz w:val="18"/>
                <w:szCs w:val="18"/>
                <w:lang w:eastAsia="en-GB"/>
              </w:rPr>
              <w:t xml:space="preserve"> (3)</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Hot Chips/Potato Products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23</w:t>
            </w:r>
            <w:r w:rsidR="00F477F5">
              <w:rPr>
                <w:rFonts w:eastAsia="Times New Roman"/>
                <w:color w:val="000000"/>
                <w:sz w:val="18"/>
                <w:szCs w:val="18"/>
                <w:lang w:eastAsia="en-GB"/>
              </w:rPr>
              <w:t xml:space="preserve"> (5)</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Pizza</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20</w:t>
            </w:r>
            <w:r w:rsidR="00F477F5">
              <w:rPr>
                <w:rFonts w:eastAsia="Times New Roman"/>
                <w:color w:val="000000"/>
                <w:sz w:val="18"/>
                <w:szCs w:val="18"/>
                <w:lang w:eastAsia="en-GB"/>
              </w:rPr>
              <w:t xml:space="preserve"> (5)</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Restaurant Style Takeaway Dishes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17</w:t>
            </w:r>
            <w:r w:rsidR="00F477F5">
              <w:rPr>
                <w:rFonts w:eastAsia="Times New Roman"/>
                <w:color w:val="000000"/>
                <w:sz w:val="18"/>
                <w:szCs w:val="18"/>
                <w:lang w:eastAsia="en-GB"/>
              </w:rPr>
              <w:t xml:space="preserve"> (3)</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Spring Rolls</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9</w:t>
            </w:r>
            <w:r w:rsidR="00F477F5">
              <w:rPr>
                <w:rFonts w:eastAsia="Times New Roman"/>
                <w:color w:val="000000"/>
                <w:sz w:val="18"/>
                <w:szCs w:val="18"/>
                <w:lang w:eastAsia="en-GB"/>
              </w:rPr>
              <w:t xml:space="preserve"> (0)</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val="restart"/>
            <w:noWrap/>
            <w:hideMark/>
          </w:tcPr>
          <w:p w:rsidR="000E4128" w:rsidRPr="000E4128" w:rsidRDefault="000E4128" w:rsidP="00C052C0">
            <w:pPr>
              <w:rPr>
                <w:rFonts w:eastAsia="Times New Roman"/>
                <w:b w:val="0"/>
                <w:bCs w:val="0"/>
                <w:color w:val="000000"/>
                <w:sz w:val="18"/>
                <w:szCs w:val="18"/>
                <w:lang w:eastAsia="en-GB"/>
              </w:rPr>
            </w:pPr>
            <w:r w:rsidRPr="000E4128">
              <w:rPr>
                <w:rFonts w:eastAsia="Times New Roman"/>
                <w:color w:val="000000"/>
                <w:sz w:val="18"/>
                <w:szCs w:val="18"/>
                <w:lang w:eastAsia="en-GB"/>
              </w:rPr>
              <w:t>Snack Foods</w:t>
            </w: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Extruded Snacks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13</w:t>
            </w:r>
            <w:r w:rsidR="00F477F5">
              <w:rPr>
                <w:rFonts w:eastAsia="Times New Roman"/>
                <w:color w:val="000000"/>
                <w:sz w:val="18"/>
                <w:szCs w:val="18"/>
                <w:lang w:eastAsia="en-GB"/>
              </w:rPr>
              <w:t xml:space="preserve"> (3)</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Popcorn</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11</w:t>
            </w:r>
            <w:r w:rsidR="00F477F5">
              <w:rPr>
                <w:rFonts w:eastAsia="Times New Roman"/>
                <w:color w:val="000000"/>
                <w:sz w:val="18"/>
                <w:szCs w:val="18"/>
                <w:lang w:eastAsia="en-GB"/>
              </w:rPr>
              <w:t xml:space="preserve"> (5)</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Potato Crisps &amp; Corn Chips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16</w:t>
            </w:r>
            <w:r w:rsidR="00F477F5">
              <w:rPr>
                <w:rFonts w:eastAsia="Times New Roman"/>
                <w:color w:val="000000"/>
                <w:sz w:val="18"/>
                <w:szCs w:val="18"/>
                <w:lang w:eastAsia="en-GB"/>
              </w:rPr>
              <w:t xml:space="preserve"> (3)</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val="restart"/>
            <w:noWrap/>
            <w:hideMark/>
          </w:tcPr>
          <w:p w:rsidR="000E4128" w:rsidRPr="000E4128" w:rsidRDefault="000E4128" w:rsidP="00C052C0">
            <w:pPr>
              <w:rPr>
                <w:rFonts w:eastAsia="Times New Roman"/>
                <w:b w:val="0"/>
                <w:bCs w:val="0"/>
                <w:color w:val="000000"/>
                <w:sz w:val="18"/>
                <w:szCs w:val="18"/>
                <w:lang w:eastAsia="en-GB"/>
              </w:rPr>
            </w:pPr>
            <w:r w:rsidRPr="000E4128">
              <w:rPr>
                <w:rFonts w:eastAsia="Times New Roman"/>
                <w:color w:val="000000"/>
                <w:sz w:val="18"/>
                <w:szCs w:val="18"/>
                <w:lang w:eastAsia="en-GB"/>
              </w:rPr>
              <w:t>Fats &amp; Oils</w:t>
            </w: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Edible Oil Spreads</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18</w:t>
            </w:r>
            <w:r w:rsidR="00F477F5">
              <w:rPr>
                <w:rFonts w:eastAsia="Times New Roman"/>
                <w:color w:val="000000"/>
                <w:sz w:val="18"/>
                <w:szCs w:val="18"/>
                <w:lang w:eastAsia="en-GB"/>
              </w:rPr>
              <w:t xml:space="preserve"> (5)</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Oil Based Dressings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8</w:t>
            </w:r>
            <w:r w:rsidR="00F477F5">
              <w:rPr>
                <w:rFonts w:eastAsia="Times New Roman"/>
                <w:color w:val="000000"/>
                <w:sz w:val="18"/>
                <w:szCs w:val="18"/>
                <w:lang w:eastAsia="en-GB"/>
              </w:rPr>
              <w:t xml:space="preserve"> (0)</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Vegetable Oil</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12</w:t>
            </w:r>
            <w:r w:rsidR="00F477F5">
              <w:rPr>
                <w:rFonts w:eastAsia="Times New Roman"/>
                <w:color w:val="000000"/>
                <w:sz w:val="18"/>
                <w:szCs w:val="18"/>
                <w:lang w:eastAsia="en-GB"/>
              </w:rPr>
              <w:t xml:space="preserve"> (2)</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val="restart"/>
            <w:noWrap/>
            <w:hideMark/>
          </w:tcPr>
          <w:p w:rsidR="000E4128" w:rsidRPr="000E4128" w:rsidRDefault="000E4128" w:rsidP="00C052C0">
            <w:pPr>
              <w:rPr>
                <w:rFonts w:eastAsia="Times New Roman"/>
                <w:b w:val="0"/>
                <w:bCs w:val="0"/>
                <w:color w:val="000000"/>
                <w:sz w:val="18"/>
                <w:szCs w:val="18"/>
                <w:lang w:eastAsia="en-GB"/>
              </w:rPr>
            </w:pPr>
            <w:r w:rsidRPr="000E4128">
              <w:rPr>
                <w:rFonts w:eastAsia="Times New Roman"/>
                <w:color w:val="000000"/>
                <w:sz w:val="18"/>
                <w:szCs w:val="18"/>
                <w:lang w:eastAsia="en-GB"/>
              </w:rPr>
              <w:t>Meat &amp; Products</w:t>
            </w: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Meat Pies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12</w:t>
            </w:r>
            <w:r w:rsidR="00F477F5">
              <w:rPr>
                <w:rFonts w:eastAsia="Times New Roman"/>
                <w:color w:val="000000"/>
                <w:sz w:val="18"/>
                <w:szCs w:val="18"/>
                <w:lang w:eastAsia="en-GB"/>
              </w:rPr>
              <w:t xml:space="preserve"> (3)</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Sausage Rolls</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14</w:t>
            </w:r>
            <w:r w:rsidR="00F477F5">
              <w:rPr>
                <w:rFonts w:eastAsia="Times New Roman"/>
                <w:color w:val="000000"/>
                <w:sz w:val="18"/>
                <w:szCs w:val="18"/>
                <w:lang w:eastAsia="en-GB"/>
              </w:rPr>
              <w:t xml:space="preserve"> (3)</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val="restart"/>
            <w:noWrap/>
            <w:hideMark/>
          </w:tcPr>
          <w:p w:rsidR="000E4128" w:rsidRPr="000E4128" w:rsidRDefault="000E4128" w:rsidP="00C052C0">
            <w:pPr>
              <w:rPr>
                <w:rFonts w:eastAsia="Times New Roman"/>
                <w:b w:val="0"/>
                <w:bCs w:val="0"/>
                <w:color w:val="000000"/>
                <w:sz w:val="18"/>
                <w:szCs w:val="18"/>
                <w:lang w:eastAsia="en-GB"/>
              </w:rPr>
            </w:pPr>
            <w:r w:rsidRPr="000E4128">
              <w:rPr>
                <w:rFonts w:eastAsia="Times New Roman"/>
                <w:color w:val="000000"/>
                <w:sz w:val="18"/>
                <w:szCs w:val="18"/>
                <w:lang w:eastAsia="en-GB"/>
              </w:rPr>
              <w:t>Bread &amp; Bakery Products</w:t>
            </w: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Choc Chip Biscuits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20</w:t>
            </w:r>
            <w:r w:rsidR="00F477F5">
              <w:rPr>
                <w:rFonts w:eastAsia="Times New Roman"/>
                <w:color w:val="000000"/>
                <w:sz w:val="18"/>
                <w:szCs w:val="18"/>
                <w:lang w:eastAsia="en-GB"/>
              </w:rPr>
              <w:t xml:space="preserve"> (6)</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Chocolate Coated and Chocolate Filled Biscuits</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12</w:t>
            </w:r>
            <w:r w:rsidR="00F477F5">
              <w:rPr>
                <w:rFonts w:eastAsia="Times New Roman"/>
                <w:color w:val="000000"/>
                <w:sz w:val="18"/>
                <w:szCs w:val="18"/>
                <w:lang w:eastAsia="en-GB"/>
              </w:rPr>
              <w:t xml:space="preserve"> (2)</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Cream Biscuits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13</w:t>
            </w:r>
            <w:r w:rsidR="00F477F5">
              <w:rPr>
                <w:rFonts w:eastAsia="Times New Roman"/>
                <w:color w:val="000000"/>
                <w:sz w:val="18"/>
                <w:szCs w:val="18"/>
                <w:lang w:eastAsia="en-GB"/>
              </w:rPr>
              <w:t xml:space="preserve"> (2)</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Croissant</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10</w:t>
            </w:r>
            <w:r w:rsidR="00F477F5">
              <w:rPr>
                <w:rFonts w:eastAsia="Times New Roman"/>
                <w:color w:val="000000"/>
                <w:sz w:val="18"/>
                <w:szCs w:val="18"/>
                <w:lang w:eastAsia="en-GB"/>
              </w:rPr>
              <w:t xml:space="preserve"> (2)</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Custard Baked Goods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10</w:t>
            </w:r>
            <w:r w:rsidR="00F477F5">
              <w:rPr>
                <w:rFonts w:eastAsia="Times New Roman"/>
                <w:color w:val="000000"/>
                <w:sz w:val="18"/>
                <w:szCs w:val="18"/>
                <w:lang w:eastAsia="en-GB"/>
              </w:rPr>
              <w:t xml:space="preserve"> (1)</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Desserts</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16</w:t>
            </w:r>
            <w:r w:rsidR="00F477F5">
              <w:rPr>
                <w:rFonts w:eastAsia="Times New Roman"/>
                <w:color w:val="000000"/>
                <w:sz w:val="18"/>
                <w:szCs w:val="18"/>
                <w:lang w:eastAsia="en-GB"/>
              </w:rPr>
              <w:t xml:space="preserve"> (6)</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Donut</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14</w:t>
            </w:r>
            <w:r w:rsidR="00F477F5">
              <w:rPr>
                <w:rFonts w:eastAsia="Times New Roman"/>
                <w:color w:val="000000"/>
                <w:sz w:val="18"/>
                <w:szCs w:val="18"/>
                <w:lang w:eastAsia="en-GB"/>
              </w:rPr>
              <w:t xml:space="preserve"> (1)</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Falafel</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9</w:t>
            </w:r>
            <w:r w:rsidR="00F477F5">
              <w:rPr>
                <w:rFonts w:eastAsia="Times New Roman"/>
                <w:color w:val="000000"/>
                <w:sz w:val="18"/>
                <w:szCs w:val="18"/>
                <w:lang w:eastAsia="en-GB"/>
              </w:rPr>
              <w:t xml:space="preserve"> (0)</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Pikelets/Pancakes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8</w:t>
            </w:r>
            <w:r w:rsidR="00F477F5">
              <w:rPr>
                <w:rFonts w:eastAsia="Times New Roman"/>
                <w:color w:val="000000"/>
                <w:sz w:val="18"/>
                <w:szCs w:val="18"/>
                <w:lang w:eastAsia="en-GB"/>
              </w:rPr>
              <w:t xml:space="preserve"> (0)</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Prepared Pastry</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13</w:t>
            </w:r>
            <w:r w:rsidR="00F477F5">
              <w:rPr>
                <w:rFonts w:eastAsia="Times New Roman"/>
                <w:color w:val="000000"/>
                <w:sz w:val="18"/>
                <w:szCs w:val="18"/>
                <w:lang w:eastAsia="en-GB"/>
              </w:rPr>
              <w:t xml:space="preserve"> (5)</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Savoury Biscuits - Rice Crackers and Crispbreads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10</w:t>
            </w:r>
            <w:r w:rsidR="00F477F5">
              <w:rPr>
                <w:rFonts w:eastAsia="Times New Roman"/>
                <w:color w:val="000000"/>
                <w:sz w:val="18"/>
                <w:szCs w:val="18"/>
                <w:lang w:eastAsia="en-GB"/>
              </w:rPr>
              <w:t xml:space="preserve"> (0)</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Savoury Biscuits- Standard</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13</w:t>
            </w:r>
            <w:r w:rsidR="00F477F5">
              <w:rPr>
                <w:rFonts w:eastAsia="Times New Roman"/>
                <w:color w:val="000000"/>
                <w:sz w:val="18"/>
                <w:szCs w:val="18"/>
                <w:lang w:eastAsia="en-GB"/>
              </w:rPr>
              <w:t xml:space="preserve"> (5)</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Scones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8</w:t>
            </w:r>
            <w:r w:rsidR="00F477F5">
              <w:rPr>
                <w:rFonts w:eastAsia="Times New Roman"/>
                <w:color w:val="000000"/>
                <w:sz w:val="18"/>
                <w:szCs w:val="18"/>
                <w:lang w:eastAsia="en-GB"/>
              </w:rPr>
              <w:t xml:space="preserve"> (0)</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Shelf Stable Cakes - No Cream</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12</w:t>
            </w:r>
            <w:r w:rsidR="00F477F5">
              <w:rPr>
                <w:rFonts w:eastAsia="Times New Roman"/>
                <w:color w:val="000000"/>
                <w:sz w:val="18"/>
                <w:szCs w:val="18"/>
                <w:lang w:eastAsia="en-GB"/>
              </w:rPr>
              <w:t xml:space="preserve"> (2)</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Sweet Biscuits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12</w:t>
            </w:r>
            <w:r w:rsidR="00F477F5">
              <w:rPr>
                <w:rFonts w:eastAsia="Times New Roman"/>
                <w:color w:val="000000"/>
                <w:sz w:val="18"/>
                <w:szCs w:val="18"/>
                <w:lang w:eastAsia="en-GB"/>
              </w:rPr>
              <w:t xml:space="preserve"> (2)</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Sweet Muffins &amp; Banana Bread</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12</w:t>
            </w:r>
            <w:r w:rsidR="00F477F5">
              <w:rPr>
                <w:rFonts w:eastAsia="Times New Roman"/>
                <w:color w:val="000000"/>
                <w:sz w:val="18"/>
                <w:szCs w:val="18"/>
                <w:lang w:eastAsia="en-GB"/>
              </w:rPr>
              <w:t xml:space="preserve"> (2)</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Shelf Stable Cakes - Cream Filled</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8</w:t>
            </w:r>
            <w:r w:rsidR="00B90877">
              <w:rPr>
                <w:rFonts w:eastAsia="Times New Roman"/>
                <w:color w:val="000000"/>
                <w:sz w:val="18"/>
                <w:szCs w:val="18"/>
                <w:lang w:eastAsia="en-GB"/>
              </w:rPr>
              <w:t xml:space="preserve"> (0)</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val="restart"/>
            <w:noWrap/>
            <w:hideMark/>
          </w:tcPr>
          <w:p w:rsidR="000E4128" w:rsidRPr="000E4128" w:rsidRDefault="000E4128" w:rsidP="00C052C0">
            <w:pPr>
              <w:rPr>
                <w:rFonts w:eastAsia="Times New Roman"/>
                <w:b w:val="0"/>
                <w:bCs w:val="0"/>
                <w:color w:val="000000"/>
                <w:sz w:val="18"/>
                <w:szCs w:val="18"/>
                <w:lang w:eastAsia="en-GB"/>
              </w:rPr>
            </w:pPr>
            <w:r w:rsidRPr="000E4128">
              <w:rPr>
                <w:rFonts w:eastAsia="Times New Roman"/>
                <w:color w:val="000000"/>
                <w:sz w:val="18"/>
                <w:szCs w:val="18"/>
                <w:lang w:eastAsia="en-GB"/>
              </w:rPr>
              <w:t>Others</w:t>
            </w:r>
          </w:p>
        </w:tc>
        <w:tc>
          <w:tcPr>
            <w:tcW w:w="4678" w:type="dxa"/>
            <w:noWrap/>
            <w:hideMark/>
          </w:tcPr>
          <w:p w:rsidR="000E4128" w:rsidRPr="000E4128" w:rsidRDefault="00A10C20"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Pr>
                <w:rFonts w:eastAsia="Times New Roman"/>
                <w:color w:val="000000"/>
                <w:sz w:val="18"/>
                <w:szCs w:val="18"/>
                <w:lang w:eastAsia="en-GB"/>
              </w:rPr>
              <w:t>Confectionery</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13</w:t>
            </w:r>
            <w:r w:rsidR="00B90877">
              <w:rPr>
                <w:rFonts w:eastAsia="Times New Roman"/>
                <w:color w:val="000000"/>
                <w:sz w:val="18"/>
                <w:szCs w:val="18"/>
                <w:lang w:eastAsia="en-GB"/>
              </w:rPr>
              <w:t xml:space="preserve"> (3)</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Dips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8</w:t>
            </w:r>
            <w:r w:rsidR="00B90877">
              <w:rPr>
                <w:rFonts w:eastAsia="Times New Roman"/>
                <w:color w:val="000000"/>
                <w:sz w:val="18"/>
                <w:szCs w:val="18"/>
                <w:lang w:eastAsia="en-GB"/>
              </w:rPr>
              <w:t xml:space="preserve"> (0)</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Dry Mix Pasta</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8</w:t>
            </w:r>
            <w:r w:rsidR="00B90877">
              <w:rPr>
                <w:rFonts w:eastAsia="Times New Roman"/>
                <w:color w:val="000000"/>
                <w:sz w:val="18"/>
                <w:szCs w:val="18"/>
                <w:lang w:eastAsia="en-GB"/>
              </w:rPr>
              <w:t xml:space="preserve"> (0)</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Nut Based Spreads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13</w:t>
            </w:r>
            <w:r w:rsidR="00B90877">
              <w:rPr>
                <w:rFonts w:eastAsia="Times New Roman"/>
                <w:color w:val="000000"/>
                <w:sz w:val="18"/>
                <w:szCs w:val="18"/>
                <w:lang w:eastAsia="en-GB"/>
              </w:rPr>
              <w:t xml:space="preserve"> (3)</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Sauces</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8</w:t>
            </w:r>
            <w:r w:rsidR="00B90877">
              <w:rPr>
                <w:rFonts w:eastAsia="Times New Roman"/>
                <w:color w:val="000000"/>
                <w:sz w:val="18"/>
                <w:szCs w:val="18"/>
                <w:lang w:eastAsia="en-GB"/>
              </w:rPr>
              <w:t xml:space="preserve"> (0)</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Snack Bars</w:t>
            </w: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15</w:t>
            </w:r>
            <w:r w:rsidR="00B90877">
              <w:rPr>
                <w:rFonts w:eastAsia="Times New Roman"/>
                <w:color w:val="000000"/>
                <w:sz w:val="18"/>
                <w:szCs w:val="18"/>
                <w:lang w:eastAsia="en-GB"/>
              </w:rPr>
              <w:t xml:space="preserve"> (5)</w:t>
            </w:r>
          </w:p>
        </w:tc>
      </w:tr>
      <w:tr w:rsidR="000E4128" w:rsidRPr="008234DB" w:rsidTr="00C052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vMerge/>
            <w:noWrap/>
            <w:hideMark/>
          </w:tcPr>
          <w:p w:rsidR="000E4128" w:rsidRPr="000E4128" w:rsidRDefault="000E4128" w:rsidP="00C052C0">
            <w:pPr>
              <w:rPr>
                <w:rFonts w:eastAsia="Times New Roman"/>
                <w:b w:val="0"/>
                <w:bCs w:val="0"/>
                <w:color w:val="000000"/>
                <w:sz w:val="18"/>
                <w:szCs w:val="18"/>
                <w:lang w:eastAsia="en-GB"/>
              </w:rPr>
            </w:pPr>
          </w:p>
        </w:tc>
        <w:tc>
          <w:tcPr>
            <w:tcW w:w="4678" w:type="dxa"/>
            <w:noWrap/>
            <w:hideMark/>
          </w:tcPr>
          <w:p w:rsidR="000E4128" w:rsidRPr="000E4128" w:rsidRDefault="000E4128" w:rsidP="00C052C0">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Toasted Style Muesli Cereal</w:t>
            </w:r>
          </w:p>
        </w:tc>
        <w:tc>
          <w:tcPr>
            <w:tcW w:w="1559" w:type="dxa"/>
            <w:noWrap/>
            <w:hideMark/>
          </w:tcPr>
          <w:p w:rsidR="000E4128" w:rsidRPr="000E4128" w:rsidRDefault="000E4128" w:rsidP="00C052C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E4128">
              <w:rPr>
                <w:rFonts w:eastAsia="Times New Roman"/>
                <w:color w:val="000000"/>
                <w:sz w:val="18"/>
                <w:szCs w:val="18"/>
                <w:lang w:eastAsia="en-GB"/>
              </w:rPr>
              <w:t>11</w:t>
            </w:r>
            <w:r w:rsidR="00B90877">
              <w:rPr>
                <w:rFonts w:eastAsia="Times New Roman"/>
                <w:color w:val="000000"/>
                <w:sz w:val="18"/>
                <w:szCs w:val="18"/>
                <w:lang w:eastAsia="en-GB"/>
              </w:rPr>
              <w:t xml:space="preserve"> (3)</w:t>
            </w:r>
          </w:p>
        </w:tc>
      </w:tr>
      <w:tr w:rsidR="000E4128" w:rsidRPr="008234DB" w:rsidTr="00C052C0">
        <w:trPr>
          <w:trHeight w:val="300"/>
        </w:trPr>
        <w:tc>
          <w:tcPr>
            <w:cnfStyle w:val="001000000000" w:firstRow="0" w:lastRow="0" w:firstColumn="1" w:lastColumn="0" w:oddVBand="0" w:evenVBand="0" w:oddHBand="0" w:evenHBand="0" w:firstRowFirstColumn="0" w:firstRowLastColumn="0" w:lastRowFirstColumn="0" w:lastRowLastColumn="0"/>
            <w:tcW w:w="2567" w:type="dxa"/>
            <w:noWrap/>
            <w:hideMark/>
          </w:tcPr>
          <w:p w:rsidR="000E4128" w:rsidRPr="000E4128" w:rsidRDefault="000E4128" w:rsidP="00C052C0">
            <w:pPr>
              <w:rPr>
                <w:rFonts w:eastAsia="Times New Roman"/>
                <w:b w:val="0"/>
                <w:bCs w:val="0"/>
                <w:color w:val="000000"/>
                <w:sz w:val="18"/>
                <w:szCs w:val="18"/>
                <w:lang w:eastAsia="en-GB"/>
              </w:rPr>
            </w:pPr>
            <w:r w:rsidRPr="000E4128">
              <w:rPr>
                <w:rFonts w:eastAsia="Times New Roman"/>
                <w:color w:val="000000"/>
                <w:sz w:val="18"/>
                <w:szCs w:val="18"/>
                <w:lang w:eastAsia="en-GB"/>
              </w:rPr>
              <w:t>Total</w:t>
            </w:r>
          </w:p>
        </w:tc>
        <w:tc>
          <w:tcPr>
            <w:tcW w:w="4678" w:type="dxa"/>
            <w:noWrap/>
            <w:hideMark/>
          </w:tcPr>
          <w:p w:rsidR="000E4128" w:rsidRPr="000E4128" w:rsidRDefault="000E4128" w:rsidP="00C052C0">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lang w:eastAsia="en-GB"/>
              </w:rPr>
            </w:pPr>
          </w:p>
        </w:tc>
        <w:tc>
          <w:tcPr>
            <w:tcW w:w="1559" w:type="dxa"/>
            <w:noWrap/>
            <w:hideMark/>
          </w:tcPr>
          <w:p w:rsidR="000E4128" w:rsidRPr="000E4128" w:rsidRDefault="000E4128" w:rsidP="00C052C0">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lang w:eastAsia="en-GB"/>
              </w:rPr>
            </w:pPr>
            <w:r w:rsidRPr="000E4128">
              <w:rPr>
                <w:rFonts w:eastAsia="Times New Roman"/>
                <w:b/>
                <w:bCs/>
                <w:color w:val="000000"/>
                <w:sz w:val="18"/>
                <w:szCs w:val="18"/>
                <w:lang w:eastAsia="en-GB"/>
              </w:rPr>
              <w:t>500</w:t>
            </w:r>
          </w:p>
        </w:tc>
      </w:tr>
    </w:tbl>
    <w:p w:rsidR="000B6DF7" w:rsidRPr="00B90877" w:rsidRDefault="00B90877" w:rsidP="000B6DF7">
      <w:pPr>
        <w:rPr>
          <w:sz w:val="18"/>
          <w:szCs w:val="18"/>
        </w:rPr>
      </w:pPr>
      <w:r w:rsidRPr="00B90877">
        <w:rPr>
          <w:sz w:val="18"/>
          <w:szCs w:val="18"/>
        </w:rPr>
        <w:t>() values in parentheses are the number of samples obtained from New Zealand</w:t>
      </w:r>
    </w:p>
    <w:p w:rsidR="000B6DF7" w:rsidRPr="00B96E39" w:rsidRDefault="00C052C0" w:rsidP="008E314D">
      <w:pPr>
        <w:pStyle w:val="Heading2"/>
      </w:pPr>
      <w:bookmarkStart w:id="22" w:name="_Toc387832027"/>
      <w:bookmarkStart w:id="23" w:name="_Toc389652006"/>
      <w:r>
        <w:lastRenderedPageBreak/>
        <w:t>6.2</w:t>
      </w:r>
      <w:r>
        <w:tab/>
      </w:r>
      <w:r w:rsidR="000B6DF7" w:rsidRPr="00B96E39">
        <w:t xml:space="preserve">Method of </w:t>
      </w:r>
      <w:r w:rsidR="00964A6E">
        <w:t>a</w:t>
      </w:r>
      <w:r w:rsidR="000B6DF7" w:rsidRPr="00B96E39">
        <w:t>nalysis</w:t>
      </w:r>
      <w:bookmarkEnd w:id="22"/>
      <w:bookmarkEnd w:id="23"/>
    </w:p>
    <w:p w:rsidR="000B6DF7" w:rsidRDefault="000B6DF7" w:rsidP="000B6DF7">
      <w:r w:rsidRPr="008234DB">
        <w:t>Analytical measurements were conducted by the National Measurement Institute (NMI), NSW Forensic Analytical and Scien</w:t>
      </w:r>
      <w:r>
        <w:t>ce Services and Chem Centre</w:t>
      </w:r>
      <w:r w:rsidRPr="008234DB">
        <w:t xml:space="preserve">. Analysis of fatty acids from food samples generally involved three steps: extraction of lipids, conversion of the extracted lipids to fatty acid methyl esters (FAME) and analysis of the FAME using gas-liquid chromatography (GC) </w:t>
      </w:r>
      <w:r>
        <w:t>coupled with flame ionisation detection (FID)</w:t>
      </w:r>
      <w:r w:rsidRPr="008234DB">
        <w:t xml:space="preserve">. Quantification and identification of the individual FAME was achieved by the use of external standards. </w:t>
      </w:r>
      <w:r>
        <w:t xml:space="preserve"> </w:t>
      </w:r>
    </w:p>
    <w:p w:rsidR="000B6DF7" w:rsidRDefault="000B6DF7" w:rsidP="000B6DF7"/>
    <w:p w:rsidR="000B6DF7" w:rsidRDefault="000B6DF7" w:rsidP="000B6DF7">
      <w:r>
        <w:t xml:space="preserve">The Limits of Reporting (LOR) for each method were: </w:t>
      </w:r>
    </w:p>
    <w:p w:rsidR="000B6DF7" w:rsidRDefault="000B6DF7" w:rsidP="006D1098">
      <w:pPr>
        <w:ind w:left="567" w:hanging="567"/>
      </w:pPr>
    </w:p>
    <w:p w:rsidR="000B6DF7" w:rsidRDefault="00DD7796" w:rsidP="006D1098">
      <w:pPr>
        <w:pStyle w:val="ListParagraph"/>
        <w:numPr>
          <w:ilvl w:val="0"/>
          <w:numId w:val="10"/>
        </w:numPr>
        <w:ind w:left="567" w:hanging="567"/>
      </w:pPr>
      <w:r>
        <w:t>0.1 g/</w:t>
      </w:r>
      <w:r w:rsidR="000B6DF7">
        <w:t>100 g total fat and 0.1% FAME (NMI)</w:t>
      </w:r>
    </w:p>
    <w:p w:rsidR="000B6DF7" w:rsidRDefault="000B6DF7" w:rsidP="006D1098">
      <w:pPr>
        <w:pStyle w:val="ListParagraph"/>
        <w:ind w:left="567" w:hanging="567"/>
      </w:pPr>
    </w:p>
    <w:p w:rsidR="000B6DF7" w:rsidRDefault="00DD7796" w:rsidP="006D1098">
      <w:pPr>
        <w:pStyle w:val="ListParagraph"/>
        <w:numPr>
          <w:ilvl w:val="0"/>
          <w:numId w:val="10"/>
        </w:numPr>
        <w:ind w:left="567" w:hanging="567"/>
      </w:pPr>
      <w:r>
        <w:t>0.1 g/</w:t>
      </w:r>
      <w:r w:rsidR="000B6DF7">
        <w:t>100 g total fat and 0.1% FAME (Chem Centre)</w:t>
      </w:r>
    </w:p>
    <w:p w:rsidR="000B6DF7" w:rsidRDefault="000B6DF7" w:rsidP="006D1098">
      <w:pPr>
        <w:ind w:left="567" w:hanging="567"/>
      </w:pPr>
    </w:p>
    <w:p w:rsidR="000B6DF7" w:rsidRDefault="00DD7796" w:rsidP="006D1098">
      <w:pPr>
        <w:pStyle w:val="ListParagraph"/>
        <w:numPr>
          <w:ilvl w:val="0"/>
          <w:numId w:val="10"/>
        </w:numPr>
        <w:ind w:left="567" w:hanging="567"/>
      </w:pPr>
      <w:r>
        <w:t>0.1 g/</w:t>
      </w:r>
      <w:r w:rsidR="000B6DF7">
        <w:t>100 g total fat and 0.05% FAME (NSW Forensic Analytical and Science Services).</w:t>
      </w:r>
    </w:p>
    <w:p w:rsidR="000B6DF7" w:rsidRDefault="000B6DF7" w:rsidP="000B6DF7"/>
    <w:p w:rsidR="000B6DF7" w:rsidRDefault="000B6DF7" w:rsidP="000B6DF7">
      <w:r w:rsidRPr="003C294D">
        <w:t>To demonstrate the reproducibility of the methods, inter</w:t>
      </w:r>
      <w:r>
        <w:t>-</w:t>
      </w:r>
      <w:r w:rsidRPr="003C294D">
        <w:t xml:space="preserve">laboratory analyses were performed on ten different samples </w:t>
      </w:r>
      <w:r w:rsidRPr="00853C72">
        <w:t>(refer to Appendix 2, Table</w:t>
      </w:r>
      <w:r>
        <w:t xml:space="preserve"> A2.</w:t>
      </w:r>
      <w:r w:rsidRPr="00853C72">
        <w:t>1).</w:t>
      </w:r>
      <w:r w:rsidRPr="003C294D">
        <w:t xml:space="preserve"> </w:t>
      </w:r>
      <w:r>
        <w:t xml:space="preserve">Relative percent difference (RPD) </w:t>
      </w:r>
      <w:r w:rsidRPr="003C294D">
        <w:t xml:space="preserve">values for </w:t>
      </w:r>
      <w:r>
        <w:t>total fat, MUFA</w:t>
      </w:r>
      <w:r w:rsidR="00F74FF8">
        <w:t>s</w:t>
      </w:r>
      <w:r>
        <w:t>,</w:t>
      </w:r>
      <w:r w:rsidR="00633C75" w:rsidRPr="00633C75">
        <w:t xml:space="preserve"> </w:t>
      </w:r>
      <w:r>
        <w:t>PUFA</w:t>
      </w:r>
      <w:r w:rsidR="00F74FF8">
        <w:t>s</w:t>
      </w:r>
      <w:r>
        <w:t>, SFA</w:t>
      </w:r>
      <w:r w:rsidR="00633C75">
        <w:t>s</w:t>
      </w:r>
      <w:r>
        <w:t xml:space="preserve"> and TFA</w:t>
      </w:r>
      <w:r w:rsidR="00633C75">
        <w:t>s</w:t>
      </w:r>
      <w:r>
        <w:t xml:space="preserve"> were considered acceptable to achieve the objectives of the study. </w:t>
      </w:r>
    </w:p>
    <w:p w:rsidR="000B6DF7" w:rsidRDefault="000B6DF7" w:rsidP="000B6DF7"/>
    <w:p w:rsidR="000B6DF7" w:rsidRDefault="000B6DF7" w:rsidP="000B6DF7">
      <w:r>
        <w:t>RPDs were generally higher for TFA</w:t>
      </w:r>
      <w:r w:rsidR="00633C75">
        <w:t>s</w:t>
      </w:r>
      <w:r>
        <w:t xml:space="preserve"> than total fat, MUFA</w:t>
      </w:r>
      <w:r w:rsidR="00633C75">
        <w:t>s</w:t>
      </w:r>
      <w:r>
        <w:t>, PUFA</w:t>
      </w:r>
      <w:r w:rsidR="00633C75">
        <w:t>s</w:t>
      </w:r>
      <w:r>
        <w:t xml:space="preserve"> and SFA</w:t>
      </w:r>
      <w:r w:rsidR="00633C75">
        <w:t>s</w:t>
      </w:r>
      <w:r>
        <w:t>, which reflects the lower absolute levels of TFA</w:t>
      </w:r>
      <w:r w:rsidR="00633C75">
        <w:t>s</w:t>
      </w:r>
      <w:r>
        <w:t xml:space="preserve"> in food samples, and results in exaggerated differences when expressed as a percentage. In absolute terms, the concentrations of TFA</w:t>
      </w:r>
      <w:r w:rsidR="00633C75">
        <w:t>s</w:t>
      </w:r>
      <w:r>
        <w:t xml:space="preserve"> measured by the three laboratories were generally comparable (refer to Appendix 2, Figure A2.1). </w:t>
      </w:r>
    </w:p>
    <w:p w:rsidR="000B6DF7" w:rsidRDefault="000B6DF7" w:rsidP="000B6DF7"/>
    <w:p w:rsidR="000B6DF7" w:rsidRDefault="000B6DF7" w:rsidP="000B6DF7">
      <w:r>
        <w:t>The main advantage</w:t>
      </w:r>
      <w:r w:rsidRPr="00C04F4C">
        <w:t xml:space="preserve"> of GC-FID compared to other techniques</w:t>
      </w:r>
      <w:r>
        <w:t>,</w:t>
      </w:r>
      <w:r w:rsidRPr="00C04F4C">
        <w:t xml:space="preserve"> </w:t>
      </w:r>
      <w:r>
        <w:t>is</w:t>
      </w:r>
      <w:r w:rsidRPr="00C04F4C">
        <w:t xml:space="preserve"> that i</w:t>
      </w:r>
      <w:r>
        <w:t>t has been well validated and</w:t>
      </w:r>
      <w:r w:rsidRPr="00C04F4C">
        <w:t xml:space="preserve"> allows the simultaneous analysis of the overall f</w:t>
      </w:r>
      <w:r>
        <w:t>atty acid composition, i</w:t>
      </w:r>
      <w:r w:rsidR="00964A6E">
        <w:t>.</w:t>
      </w:r>
      <w:r>
        <w:t>e</w:t>
      </w:r>
      <w:r w:rsidR="00964A6E">
        <w:t>.</w:t>
      </w:r>
      <w:r>
        <w:t xml:space="preserve"> </w:t>
      </w:r>
      <w:r w:rsidRPr="00C04F4C">
        <w:t>TFA</w:t>
      </w:r>
      <w:r w:rsidR="00633C75">
        <w:t>s</w:t>
      </w:r>
      <w:r w:rsidRPr="00C04F4C">
        <w:t>, SFA</w:t>
      </w:r>
      <w:r w:rsidR="00633C75">
        <w:t>s</w:t>
      </w:r>
      <w:r w:rsidRPr="00C04F4C">
        <w:t>, MU</w:t>
      </w:r>
      <w:r>
        <w:t>FA</w:t>
      </w:r>
      <w:r w:rsidR="00633C75">
        <w:t>s</w:t>
      </w:r>
      <w:r>
        <w:t xml:space="preserve"> and PUFA</w:t>
      </w:r>
      <w:r w:rsidR="00633C75">
        <w:t>s</w:t>
      </w:r>
      <w:r>
        <w:t xml:space="preserve">. A limitation of this analytical technique </w:t>
      </w:r>
      <w:r w:rsidRPr="00C04F4C">
        <w:t>is that due to the large number of different fatty acids in the analysed materials</w:t>
      </w:r>
      <w:r>
        <w:t>,</w:t>
      </w:r>
      <w:r w:rsidRPr="00C04F4C">
        <w:t xml:space="preserve"> some isomers will be expected to co-elute. A complete determination and identification of TFA</w:t>
      </w:r>
      <w:r w:rsidR="00633C75">
        <w:t>s</w:t>
      </w:r>
      <w:r w:rsidRPr="00C04F4C">
        <w:t xml:space="preserve"> can only be achieved by a combination of different chromatographic methods such as silver ion chromatography</w:t>
      </w:r>
      <w:r>
        <w:t>,</w:t>
      </w:r>
      <w:r w:rsidRPr="00C04F4C">
        <w:t xml:space="preserve"> or mass spectrometry coupled to GC.</w:t>
      </w:r>
      <w:r>
        <w:t xml:space="preserve"> </w:t>
      </w:r>
    </w:p>
    <w:p w:rsidR="000B6DF7" w:rsidRDefault="000B6DF7" w:rsidP="000B6DF7"/>
    <w:p w:rsidR="000B6DF7" w:rsidRPr="00376B18" w:rsidRDefault="000B6DF7" w:rsidP="000B6DF7">
      <w:r>
        <w:t>It should also</w:t>
      </w:r>
      <w:r w:rsidRPr="00C04F4C">
        <w:t xml:space="preserve"> be recognised that current techniques cannot reliably distinguish between naturally occurring TFA</w:t>
      </w:r>
      <w:r w:rsidR="00633C75">
        <w:t>s</w:t>
      </w:r>
      <w:r w:rsidRPr="00C04F4C">
        <w:t xml:space="preserve"> in ruminant products from those </w:t>
      </w:r>
      <w:r>
        <w:t>originating</w:t>
      </w:r>
      <w:r w:rsidRPr="00C04F4C">
        <w:t xml:space="preserve"> from partial hydrogenation of fats and oils (EFSA 2004). That is, the analytical techniques do not provide information on the source of the TFA</w:t>
      </w:r>
      <w:r w:rsidR="00633C75">
        <w:t>s</w:t>
      </w:r>
      <w:r w:rsidRPr="00C04F4C">
        <w:t xml:space="preserve"> in the food, or wheth</w:t>
      </w:r>
      <w:r>
        <w:t>er it has ruminant or manufactured</w:t>
      </w:r>
      <w:r w:rsidRPr="00C04F4C">
        <w:t xml:space="preserve"> origins. Naturally occurring TFA</w:t>
      </w:r>
      <w:r w:rsidR="00633C75">
        <w:t>s</w:t>
      </w:r>
      <w:r w:rsidRPr="00C04F4C">
        <w:t xml:space="preserve"> are referred to as ‘ruminant TFA</w:t>
      </w:r>
      <w:r w:rsidR="00633C75">
        <w:t>s</w:t>
      </w:r>
      <w:r w:rsidRPr="00C04F4C">
        <w:t>’ in this assessment although small amounts of TFA</w:t>
      </w:r>
      <w:r w:rsidR="00633C75">
        <w:t>s</w:t>
      </w:r>
      <w:r w:rsidRPr="00C04F4C">
        <w:t xml:space="preserve"> may be present in other unprocessed foods, such as poultry meat. Manufactured TFA</w:t>
      </w:r>
      <w:r w:rsidR="00633C75">
        <w:t>s</w:t>
      </w:r>
      <w:r w:rsidRPr="00C04F4C">
        <w:t xml:space="preserve"> can occur in foods from the addition of oils to mixed foods, for example the addition of baking shortenings to pastries, cakes and biscuits, or from frying media for fried foods such as potato chips.</w:t>
      </w:r>
    </w:p>
    <w:p w:rsidR="000B6DF7" w:rsidRPr="00376B18" w:rsidRDefault="00C052C0" w:rsidP="008E314D">
      <w:pPr>
        <w:pStyle w:val="Heading2"/>
      </w:pPr>
      <w:bookmarkStart w:id="24" w:name="_Toc387832028"/>
      <w:bookmarkStart w:id="25" w:name="_Toc389652007"/>
      <w:r>
        <w:t>6.3</w:t>
      </w:r>
      <w:r>
        <w:tab/>
      </w:r>
      <w:r w:rsidR="000B6DF7">
        <w:t>Statistical analyses</w:t>
      </w:r>
      <w:bookmarkEnd w:id="24"/>
      <w:bookmarkEnd w:id="25"/>
    </w:p>
    <w:p w:rsidR="000B6DF7" w:rsidRDefault="000B6DF7" w:rsidP="000B6DF7">
      <w:r>
        <w:t>Median and mean concentrations of TFA</w:t>
      </w:r>
      <w:r w:rsidR="00633C75">
        <w:t>s</w:t>
      </w:r>
      <w:r w:rsidRPr="003C367D">
        <w:t xml:space="preserve"> in different</w:t>
      </w:r>
      <w:r>
        <w:t xml:space="preserve"> product categories</w:t>
      </w:r>
      <w:r w:rsidRPr="003C367D">
        <w:t xml:space="preserve"> </w:t>
      </w:r>
      <w:r>
        <w:t>for the 2008</w:t>
      </w:r>
      <w:r w:rsidR="00964A6E">
        <w:rPr>
          <w:rFonts w:cs="Arial"/>
        </w:rPr>
        <w:t>‒</w:t>
      </w:r>
      <w:r>
        <w:t>09 and 2013 surveys were compared</w:t>
      </w:r>
      <w:r w:rsidRPr="003C367D">
        <w:t xml:space="preserve"> using the Student’s T-test</w:t>
      </w:r>
      <w:r>
        <w:t>,</w:t>
      </w:r>
      <w:r w:rsidRPr="003C367D">
        <w:t xml:space="preserve"> following tests for normality and equality of variances. In cases where data from one of the distributions</w:t>
      </w:r>
      <w:r>
        <w:t xml:space="preserve"> </w:t>
      </w:r>
      <w:r w:rsidRPr="003C367D">
        <w:t>were not normally distributed</w:t>
      </w:r>
      <w:r>
        <w:t>,</w:t>
      </w:r>
      <w:r w:rsidRPr="003C367D">
        <w:t xml:space="preserve"> the Mann-Whitney test was used.</w:t>
      </w:r>
      <w:r>
        <w:t xml:space="preserve"> Statistical data were </w:t>
      </w:r>
      <w:r w:rsidRPr="003C367D">
        <w:t>supplemented by</w:t>
      </w:r>
      <w:r>
        <w:t xml:space="preserve"> using graphical displays (side by side Box-and-Whisker</w:t>
      </w:r>
      <w:r w:rsidRPr="003C367D">
        <w:t xml:space="preserve"> plots) to</w:t>
      </w:r>
      <w:r>
        <w:t xml:space="preserve"> facilitate comparison between the 2008/09 survey and 2013 results. </w:t>
      </w:r>
    </w:p>
    <w:p w:rsidR="000B6DF7" w:rsidRDefault="00C052C0" w:rsidP="00C052C0">
      <w:pPr>
        <w:pStyle w:val="Heading1"/>
      </w:pPr>
      <w:bookmarkStart w:id="26" w:name="_Toc387832029"/>
      <w:bookmarkStart w:id="27" w:name="_Toc389652008"/>
      <w:r>
        <w:lastRenderedPageBreak/>
        <w:t>7</w:t>
      </w:r>
      <w:r>
        <w:tab/>
      </w:r>
      <w:r w:rsidR="000B6DF7">
        <w:t>Analytical results</w:t>
      </w:r>
      <w:bookmarkEnd w:id="26"/>
      <w:bookmarkEnd w:id="27"/>
    </w:p>
    <w:p w:rsidR="000B6DF7" w:rsidRDefault="000B6DF7" w:rsidP="000B6DF7">
      <w:r>
        <w:t>Median concentrations of total fat, SFA</w:t>
      </w:r>
      <w:r w:rsidR="00633C75">
        <w:t>s</w:t>
      </w:r>
      <w:r>
        <w:t>, MUFA</w:t>
      </w:r>
      <w:r w:rsidR="00633C75">
        <w:t>s</w:t>
      </w:r>
      <w:r>
        <w:t>, PUFA</w:t>
      </w:r>
      <w:r w:rsidR="00633C75">
        <w:t>s</w:t>
      </w:r>
      <w:r>
        <w:t xml:space="preserve"> and TFA</w:t>
      </w:r>
      <w:r w:rsidR="00633C75">
        <w:t>s</w:t>
      </w:r>
      <w:r>
        <w:t xml:space="preserve"> for the 39 product categories (n = 8 - 21) analysed are shown in Table 2. </w:t>
      </w:r>
    </w:p>
    <w:p w:rsidR="000B6DF7" w:rsidRDefault="000B6DF7" w:rsidP="000B6DF7"/>
    <w:p w:rsidR="000B6DF7" w:rsidRDefault="000B6DF7" w:rsidP="000B6DF7">
      <w:r>
        <w:t xml:space="preserve">Key findings included: </w:t>
      </w:r>
    </w:p>
    <w:p w:rsidR="000B6DF7" w:rsidRDefault="000B6DF7" w:rsidP="000B6DF7"/>
    <w:p w:rsidR="000B6DF7" w:rsidRDefault="000B6DF7" w:rsidP="00C052C0">
      <w:pPr>
        <w:pStyle w:val="ListParagraph"/>
        <w:numPr>
          <w:ilvl w:val="0"/>
          <w:numId w:val="11"/>
        </w:numPr>
        <w:ind w:left="567" w:hanging="567"/>
      </w:pPr>
      <w:r>
        <w:t>TFA</w:t>
      </w:r>
      <w:r w:rsidR="00DD7796">
        <w:t>s were</w:t>
      </w:r>
      <w:r>
        <w:t xml:space="preserve"> detected in 36 of the 39 product categories analysed:</w:t>
      </w:r>
      <w:r w:rsidRPr="00A61806">
        <w:t xml:space="preserve"> </w:t>
      </w:r>
    </w:p>
    <w:p w:rsidR="000B6DF7" w:rsidRDefault="000B6DF7" w:rsidP="00C052C0">
      <w:pPr>
        <w:ind w:left="567" w:hanging="567"/>
      </w:pPr>
    </w:p>
    <w:p w:rsidR="000B6DF7" w:rsidRDefault="000B6DF7" w:rsidP="006D1098">
      <w:pPr>
        <w:pStyle w:val="FSDash"/>
        <w:numPr>
          <w:ilvl w:val="0"/>
          <w:numId w:val="20"/>
        </w:numPr>
        <w:ind w:left="993" w:hanging="426"/>
      </w:pPr>
      <w:r>
        <w:t>The h</w:t>
      </w:r>
      <w:r w:rsidRPr="00A61806">
        <w:t>ighest median concentrations of TFA</w:t>
      </w:r>
      <w:r w:rsidR="00057A62">
        <w:t>s</w:t>
      </w:r>
      <w:r w:rsidRPr="00A61806">
        <w:t xml:space="preserve"> were found </w:t>
      </w:r>
      <w:r>
        <w:t xml:space="preserve">in </w:t>
      </w:r>
      <w:r w:rsidRPr="00A61806">
        <w:t xml:space="preserve">edible oil spreads (0.65 </w:t>
      </w:r>
      <w:r>
        <w:t>g</w:t>
      </w:r>
      <w:r w:rsidR="00057A62">
        <w:t>/</w:t>
      </w:r>
      <w:r>
        <w:t>100 g food</w:t>
      </w:r>
      <w:r w:rsidRPr="00A61806">
        <w:t xml:space="preserve">), vegetable oils (0.71 </w:t>
      </w:r>
      <w:r w:rsidR="00057A62">
        <w:t>g/</w:t>
      </w:r>
      <w:r>
        <w:t>100 g food), croissants (1.02</w:t>
      </w:r>
      <w:r w:rsidRPr="00A61806">
        <w:t xml:space="preserve"> </w:t>
      </w:r>
      <w:r>
        <w:t>g/100 g food</w:t>
      </w:r>
      <w:r w:rsidRPr="00A61806">
        <w:t>), custard baked goods (0</w:t>
      </w:r>
      <w:r w:rsidR="00057A62">
        <w:t>.58 g/</w:t>
      </w:r>
      <w:r>
        <w:t xml:space="preserve">100 g food) </w:t>
      </w:r>
      <w:r w:rsidRPr="00A61806">
        <w:t xml:space="preserve">and prepared pastry (0.96 </w:t>
      </w:r>
      <w:r w:rsidR="00057A62">
        <w:t>g/</w:t>
      </w:r>
      <w:r>
        <w:t>100 g food</w:t>
      </w:r>
      <w:r w:rsidRPr="00A61806">
        <w:t>).</w:t>
      </w:r>
      <w:r w:rsidRPr="00A74A3D">
        <w:t xml:space="preserve"> </w:t>
      </w:r>
    </w:p>
    <w:p w:rsidR="000B6DF7" w:rsidRDefault="000B6DF7" w:rsidP="006D1098">
      <w:pPr>
        <w:pStyle w:val="FSDash"/>
        <w:ind w:left="993" w:hanging="426"/>
      </w:pPr>
    </w:p>
    <w:p w:rsidR="000B6DF7" w:rsidRDefault="000B6DF7" w:rsidP="006D1098">
      <w:pPr>
        <w:pStyle w:val="FSDash"/>
        <w:numPr>
          <w:ilvl w:val="0"/>
          <w:numId w:val="20"/>
        </w:numPr>
        <w:ind w:left="993" w:hanging="426"/>
      </w:pPr>
      <w:r>
        <w:t>Median concentrations of TFA</w:t>
      </w:r>
      <w:r w:rsidR="00DD7796">
        <w:t>s</w:t>
      </w:r>
      <w:r>
        <w:t xml:space="preserve"> in other product </w:t>
      </w:r>
      <w:r w:rsidR="00057A62">
        <w:t>categories were less than 0.6 g/</w:t>
      </w:r>
      <w:r>
        <w:t xml:space="preserve">100 g food. </w:t>
      </w:r>
    </w:p>
    <w:p w:rsidR="00C052C0" w:rsidRDefault="00C052C0" w:rsidP="006D1098">
      <w:pPr>
        <w:pStyle w:val="FSDash"/>
        <w:ind w:left="993" w:hanging="426"/>
      </w:pPr>
    </w:p>
    <w:p w:rsidR="000B6DF7" w:rsidRDefault="000B6DF7" w:rsidP="006D1098">
      <w:pPr>
        <w:pStyle w:val="FSDash"/>
        <w:numPr>
          <w:ilvl w:val="0"/>
          <w:numId w:val="20"/>
        </w:numPr>
        <w:ind w:left="993" w:hanging="426"/>
      </w:pPr>
      <w:r>
        <w:t>TFA</w:t>
      </w:r>
      <w:r w:rsidR="00DD7796">
        <w:t>s were</w:t>
      </w:r>
      <w:r>
        <w:t xml:space="preserve"> not detected in p</w:t>
      </w:r>
      <w:r w:rsidRPr="00A74A3D">
        <w:t xml:space="preserve">ikelets/pancakes, snack bars </w:t>
      </w:r>
      <w:r>
        <w:t>or toasted style muesli</w:t>
      </w:r>
      <w:r w:rsidRPr="00A74A3D">
        <w:t>.</w:t>
      </w:r>
    </w:p>
    <w:p w:rsidR="000B6DF7" w:rsidRDefault="000B6DF7" w:rsidP="000B6DF7"/>
    <w:p w:rsidR="000B6DF7" w:rsidRDefault="000B6DF7" w:rsidP="000B6DF7">
      <w:r>
        <w:t>It should be noted that these results do not distinguish between ruminant and manufactured TFA</w:t>
      </w:r>
      <w:r w:rsidR="00DD7796">
        <w:t>s</w:t>
      </w:r>
      <w:r>
        <w:t xml:space="preserve">. </w:t>
      </w:r>
    </w:p>
    <w:p w:rsidR="000B6DF7" w:rsidRDefault="000B6DF7" w:rsidP="000B6DF7"/>
    <w:p w:rsidR="000B6DF7" w:rsidRDefault="000B6DF7" w:rsidP="00C052C0">
      <w:pPr>
        <w:pStyle w:val="ListParagraph"/>
        <w:numPr>
          <w:ilvl w:val="0"/>
          <w:numId w:val="11"/>
        </w:numPr>
        <w:ind w:left="567" w:hanging="567"/>
      </w:pPr>
      <w:r>
        <w:t>SFA</w:t>
      </w:r>
      <w:r w:rsidR="00DD7796">
        <w:t>s were</w:t>
      </w:r>
      <w:r>
        <w:t xml:space="preserve"> detected in all foods analysed at markedly higher concentrations than TFA</w:t>
      </w:r>
      <w:r w:rsidR="00DD7796">
        <w:t>s</w:t>
      </w:r>
      <w:r>
        <w:t>:</w:t>
      </w:r>
    </w:p>
    <w:p w:rsidR="000B6DF7" w:rsidRDefault="000B6DF7" w:rsidP="00C052C0">
      <w:pPr>
        <w:pStyle w:val="ListParagraph"/>
        <w:ind w:left="567" w:hanging="567"/>
      </w:pPr>
    </w:p>
    <w:p w:rsidR="000B6DF7" w:rsidRDefault="000B6DF7" w:rsidP="006D1098">
      <w:pPr>
        <w:pStyle w:val="FSDash"/>
        <w:numPr>
          <w:ilvl w:val="0"/>
          <w:numId w:val="24"/>
        </w:numPr>
        <w:ind w:left="993" w:hanging="426"/>
      </w:pPr>
      <w:r w:rsidRPr="00A74A3D">
        <w:t>The highest median concentrations of SFA</w:t>
      </w:r>
      <w:r w:rsidR="00DD7796">
        <w:t>s</w:t>
      </w:r>
      <w:r w:rsidRPr="00A74A3D">
        <w:t xml:space="preserve"> were found in popcorn (11.1 </w:t>
      </w:r>
      <w:r w:rsidR="00057A62">
        <w:t>g/</w:t>
      </w:r>
      <w:r>
        <w:t>100 g fo</w:t>
      </w:r>
      <w:r w:rsidR="00057A62">
        <w:t>od), edible oil spreads (15.7 g/</w:t>
      </w:r>
      <w:r>
        <w:t>100 g food), vegetable oils (14.</w:t>
      </w:r>
      <w:r w:rsidRPr="00A74A3D">
        <w:t>5</w:t>
      </w:r>
      <w:r w:rsidR="00057A62">
        <w:t xml:space="preserve"> g/</w:t>
      </w:r>
      <w:r>
        <w:t>100 g food), chocolate chip biscuits (13.0</w:t>
      </w:r>
      <w:r w:rsidRPr="00A74A3D">
        <w:t xml:space="preserve"> </w:t>
      </w:r>
      <w:r w:rsidR="00057A62">
        <w:t>g/</w:t>
      </w:r>
      <w:r>
        <w:t>100 g food</w:t>
      </w:r>
      <w:r w:rsidRPr="00A74A3D">
        <w:t xml:space="preserve">), chocolate coated and </w:t>
      </w:r>
      <w:r>
        <w:t>chocolate filled biscuits (13.8</w:t>
      </w:r>
      <w:r w:rsidRPr="00A74A3D">
        <w:t xml:space="preserve"> </w:t>
      </w:r>
      <w:r w:rsidR="00057A62">
        <w:t>g/</w:t>
      </w:r>
      <w:r>
        <w:t>100 g food</w:t>
      </w:r>
      <w:r w:rsidRPr="00A74A3D">
        <w:t xml:space="preserve">), cream biscuits (13.2 </w:t>
      </w:r>
      <w:r w:rsidR="00057A62">
        <w:t>g/</w:t>
      </w:r>
      <w:r>
        <w:t>100 g food</w:t>
      </w:r>
      <w:r w:rsidRPr="00A74A3D">
        <w:t xml:space="preserve">), croissant (15.6 </w:t>
      </w:r>
      <w:r w:rsidR="00057A62">
        <w:t>g/</w:t>
      </w:r>
      <w:r>
        <w:t>100 g food</w:t>
      </w:r>
      <w:r w:rsidRPr="00A74A3D">
        <w:t xml:space="preserve">), prepared pastry (10.8 </w:t>
      </w:r>
      <w:r>
        <w:t>g</w:t>
      </w:r>
      <w:r w:rsidR="00057A62">
        <w:t>/</w:t>
      </w:r>
      <w:r>
        <w:t>100 g food</w:t>
      </w:r>
      <w:r w:rsidRPr="00A74A3D">
        <w:t>),</w:t>
      </w:r>
      <w:r>
        <w:t xml:space="preserve"> pot</w:t>
      </w:r>
      <w:r w:rsidR="00057A62">
        <w:t>ato crisps and corn chips (10 g/</w:t>
      </w:r>
      <w:r>
        <w:t xml:space="preserve">100 </w:t>
      </w:r>
      <w:r w:rsidR="00057A62">
        <w:t>g</w:t>
      </w:r>
      <w:r>
        <w:t xml:space="preserve"> food) and </w:t>
      </w:r>
      <w:r w:rsidR="00A10C20">
        <w:t>confectionery</w:t>
      </w:r>
      <w:r>
        <w:t xml:space="preserve"> (19.0</w:t>
      </w:r>
      <w:r w:rsidRPr="00A74A3D">
        <w:t xml:space="preserve"> </w:t>
      </w:r>
      <w:r w:rsidR="00057A62">
        <w:t>g/</w:t>
      </w:r>
      <w:r>
        <w:t>100 g food</w:t>
      </w:r>
      <w:r w:rsidRPr="00A74A3D">
        <w:t xml:space="preserve">). </w:t>
      </w:r>
    </w:p>
    <w:p w:rsidR="000B6DF7" w:rsidRDefault="000B6DF7" w:rsidP="006D1098">
      <w:pPr>
        <w:pStyle w:val="FSDash"/>
        <w:ind w:left="993" w:hanging="426"/>
      </w:pPr>
    </w:p>
    <w:p w:rsidR="000B6DF7" w:rsidRDefault="000B6DF7" w:rsidP="006D1098">
      <w:pPr>
        <w:pStyle w:val="FSDash"/>
        <w:numPr>
          <w:ilvl w:val="0"/>
          <w:numId w:val="24"/>
        </w:numPr>
        <w:ind w:left="993" w:hanging="426"/>
      </w:pPr>
      <w:r>
        <w:t>In all other product categories analysed, median SFA con</w:t>
      </w:r>
      <w:r w:rsidR="00057A62">
        <w:t>centrations were less than 10 g/</w:t>
      </w:r>
      <w:r>
        <w:t xml:space="preserve">100 g of food. </w:t>
      </w:r>
    </w:p>
    <w:p w:rsidR="000B6DF7" w:rsidRDefault="000B6DF7" w:rsidP="00C052C0">
      <w:pPr>
        <w:ind w:left="567" w:hanging="567"/>
      </w:pPr>
    </w:p>
    <w:p w:rsidR="000B6DF7" w:rsidRDefault="000B6DF7" w:rsidP="00C052C0">
      <w:pPr>
        <w:pStyle w:val="ListParagraph"/>
        <w:numPr>
          <w:ilvl w:val="0"/>
          <w:numId w:val="11"/>
        </w:numPr>
        <w:ind w:left="567" w:hanging="567"/>
      </w:pPr>
      <w:r>
        <w:t>Median concentrations for MUFA</w:t>
      </w:r>
      <w:r w:rsidR="00057A62">
        <w:t>s</w:t>
      </w:r>
      <w:r>
        <w:t xml:space="preserve"> and PUFA</w:t>
      </w:r>
      <w:r w:rsidR="00057A62">
        <w:t>s</w:t>
      </w:r>
      <w:r>
        <w:t xml:space="preserve"> were highest in fats and oils, which comprised edible oil spreads, oil based dressings and vegetable oils.</w:t>
      </w:r>
    </w:p>
    <w:p w:rsidR="000B6DF7" w:rsidRDefault="000B6DF7" w:rsidP="00C052C0">
      <w:pPr>
        <w:pStyle w:val="ListParagraph"/>
        <w:ind w:left="567" w:hanging="567"/>
      </w:pPr>
    </w:p>
    <w:p w:rsidR="000B6DF7" w:rsidRDefault="000B6DF7" w:rsidP="006D1098">
      <w:pPr>
        <w:pStyle w:val="FSDash"/>
        <w:numPr>
          <w:ilvl w:val="0"/>
          <w:numId w:val="25"/>
        </w:numPr>
        <w:ind w:left="993" w:hanging="426"/>
      </w:pPr>
      <w:r>
        <w:t>MUFA conc</w:t>
      </w:r>
      <w:r w:rsidR="00057A62">
        <w:t>entrations were also above 10 g/</w:t>
      </w:r>
      <w:r>
        <w:t>100 g in nut</w:t>
      </w:r>
      <w:r w:rsidR="004B69D4">
        <w:t>-</w:t>
      </w:r>
      <w:r>
        <w:t xml:space="preserve">based spreads and potato crisps and corn chips. </w:t>
      </w:r>
    </w:p>
    <w:p w:rsidR="000B6DF7" w:rsidRDefault="000B6DF7" w:rsidP="006D1098">
      <w:pPr>
        <w:pStyle w:val="FSDash"/>
        <w:ind w:left="993" w:hanging="426"/>
      </w:pPr>
    </w:p>
    <w:p w:rsidR="000B6DF7" w:rsidRDefault="000B6DF7" w:rsidP="006D1098">
      <w:pPr>
        <w:pStyle w:val="FSDash"/>
        <w:numPr>
          <w:ilvl w:val="0"/>
          <w:numId w:val="25"/>
        </w:numPr>
        <w:ind w:left="993" w:hanging="426"/>
      </w:pPr>
      <w:r>
        <w:t>All other product categories had median MUFA and PUFA co</w:t>
      </w:r>
      <w:r w:rsidR="00057A62">
        <w:t>ncentrations of less than 10 g/</w:t>
      </w:r>
      <w:r>
        <w:t xml:space="preserve">100 g. </w:t>
      </w:r>
    </w:p>
    <w:p w:rsidR="000B6DF7" w:rsidRDefault="000B6DF7" w:rsidP="00C052C0">
      <w:pPr>
        <w:ind w:left="567" w:hanging="567"/>
      </w:pPr>
    </w:p>
    <w:p w:rsidR="000B6DF7" w:rsidRDefault="000B6DF7" w:rsidP="000B6DF7">
      <w:r w:rsidRPr="005E2AAD">
        <w:t>Individual results for each product are shown in Appendix 3.</w:t>
      </w:r>
      <w:r>
        <w:t xml:space="preserve"> </w:t>
      </w:r>
    </w:p>
    <w:p w:rsidR="000B6DF7" w:rsidRDefault="000B6DF7" w:rsidP="000B6DF7"/>
    <w:p w:rsidR="000B6DF7" w:rsidRDefault="000B6DF7" w:rsidP="000B6DF7">
      <w:pPr>
        <w:rPr>
          <w:i/>
        </w:rPr>
        <w:sectPr w:rsidR="000B6DF7" w:rsidSect="000B6DF7">
          <w:footerReference w:type="default" r:id="rId15"/>
          <w:footnotePr>
            <w:numRestart w:val="eachSect"/>
          </w:footnotePr>
          <w:pgSz w:w="11906" w:h="16838"/>
          <w:pgMar w:top="1440" w:right="1440" w:bottom="1440" w:left="1440" w:header="709" w:footer="709" w:gutter="0"/>
          <w:pgNumType w:start="1"/>
          <w:cols w:space="708"/>
          <w:docGrid w:linePitch="360"/>
        </w:sectPr>
      </w:pPr>
    </w:p>
    <w:p w:rsidR="00C83DB8" w:rsidRDefault="000B6DF7" w:rsidP="000B6DF7">
      <w:r w:rsidRPr="00641CB6">
        <w:rPr>
          <w:b/>
        </w:rPr>
        <w:lastRenderedPageBreak/>
        <w:t xml:space="preserve">Table </w:t>
      </w:r>
      <w:r>
        <w:rPr>
          <w:b/>
        </w:rPr>
        <w:t>2</w:t>
      </w:r>
      <w:r w:rsidR="00850553">
        <w:rPr>
          <w:b/>
        </w:rPr>
        <w:tab/>
      </w:r>
      <w:r>
        <w:t>Median</w:t>
      </w:r>
      <w:r w:rsidRPr="00641CB6">
        <w:t xml:space="preserve"> </w:t>
      </w:r>
      <w:r>
        <w:t>concentrations of</w:t>
      </w:r>
      <w:r w:rsidRPr="00641CB6">
        <w:t xml:space="preserve"> total fat, SFA, MUFA, PUFA, and TFA for analysed </w:t>
      </w:r>
      <w:r>
        <w:t>product categories</w:t>
      </w:r>
      <w:r w:rsidR="00850553">
        <w:t xml:space="preserve"> expressed in g/</w:t>
      </w:r>
      <w:r w:rsidRPr="00641CB6">
        <w:t>100 g food</w:t>
      </w:r>
    </w:p>
    <w:tbl>
      <w:tblPr>
        <w:tblStyle w:val="LightList"/>
        <w:tblW w:w="14445" w:type="dxa"/>
        <w:tblLook w:val="04A0" w:firstRow="1" w:lastRow="0" w:firstColumn="1" w:lastColumn="0" w:noHBand="0" w:noVBand="1"/>
      </w:tblPr>
      <w:tblGrid>
        <w:gridCol w:w="2376"/>
        <w:gridCol w:w="5103"/>
        <w:gridCol w:w="1161"/>
        <w:gridCol w:w="1161"/>
        <w:gridCol w:w="1161"/>
        <w:gridCol w:w="1161"/>
        <w:gridCol w:w="1161"/>
        <w:gridCol w:w="1161"/>
      </w:tblGrid>
      <w:tr w:rsidR="005D43AB" w:rsidRPr="000033FB" w:rsidTr="00F56291">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376" w:type="dxa"/>
          </w:tcPr>
          <w:p w:rsidR="005D43AB" w:rsidRPr="000033FB" w:rsidRDefault="005D43AB" w:rsidP="00850553">
            <w:pPr>
              <w:spacing w:before="240"/>
              <w:rPr>
                <w:color w:val="auto"/>
                <w:sz w:val="18"/>
                <w:szCs w:val="18"/>
              </w:rPr>
            </w:pPr>
            <w:bookmarkStart w:id="28" w:name="_Toc384284429"/>
            <w:bookmarkEnd w:id="28"/>
            <w:r w:rsidRPr="000033FB">
              <w:rPr>
                <w:color w:val="auto"/>
                <w:sz w:val="18"/>
                <w:szCs w:val="18"/>
              </w:rPr>
              <w:t>Product type</w:t>
            </w:r>
          </w:p>
        </w:tc>
        <w:tc>
          <w:tcPr>
            <w:tcW w:w="5103" w:type="dxa"/>
          </w:tcPr>
          <w:p w:rsidR="005D43AB" w:rsidRPr="000033FB" w:rsidRDefault="005D43AB" w:rsidP="000033FB">
            <w:pPr>
              <w:spacing w:before="240"/>
              <w:cnfStyle w:val="100000000000" w:firstRow="1" w:lastRow="0" w:firstColumn="0" w:lastColumn="0" w:oddVBand="0" w:evenVBand="0" w:oddHBand="0" w:evenHBand="0" w:firstRowFirstColumn="0" w:firstRowLastColumn="0" w:lastRowFirstColumn="0" w:lastRowLastColumn="0"/>
              <w:rPr>
                <w:color w:val="auto"/>
                <w:sz w:val="18"/>
                <w:szCs w:val="18"/>
              </w:rPr>
            </w:pPr>
            <w:r w:rsidRPr="000033FB">
              <w:rPr>
                <w:color w:val="auto"/>
                <w:sz w:val="18"/>
                <w:szCs w:val="18"/>
              </w:rPr>
              <w:t>Prod</w:t>
            </w:r>
            <w:r>
              <w:rPr>
                <w:color w:val="auto"/>
                <w:sz w:val="18"/>
                <w:szCs w:val="18"/>
              </w:rPr>
              <w:t>uct Category</w:t>
            </w:r>
          </w:p>
        </w:tc>
        <w:tc>
          <w:tcPr>
            <w:tcW w:w="1161" w:type="dxa"/>
          </w:tcPr>
          <w:p w:rsidR="005D43AB" w:rsidRPr="000033FB" w:rsidRDefault="005D43AB" w:rsidP="005D43AB">
            <w:pPr>
              <w:spacing w:before="24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No. of samples</w:t>
            </w:r>
          </w:p>
        </w:tc>
        <w:tc>
          <w:tcPr>
            <w:tcW w:w="1161" w:type="dxa"/>
          </w:tcPr>
          <w:p w:rsidR="001A3991" w:rsidRPr="001A3991" w:rsidRDefault="005D43AB" w:rsidP="001A3991">
            <w:pPr>
              <w:spacing w:before="24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0033FB">
              <w:rPr>
                <w:color w:val="auto"/>
                <w:sz w:val="18"/>
                <w:szCs w:val="18"/>
              </w:rPr>
              <w:t>Total Fat</w:t>
            </w:r>
          </w:p>
        </w:tc>
        <w:tc>
          <w:tcPr>
            <w:tcW w:w="1161" w:type="dxa"/>
          </w:tcPr>
          <w:p w:rsidR="005D43AB" w:rsidRPr="000033FB" w:rsidRDefault="005D43AB" w:rsidP="00850553">
            <w:pPr>
              <w:spacing w:before="240"/>
              <w:jc w:val="center"/>
              <w:cnfStyle w:val="100000000000" w:firstRow="1" w:lastRow="0" w:firstColumn="0" w:lastColumn="0" w:oddVBand="0" w:evenVBand="0" w:oddHBand="0" w:evenHBand="0" w:firstRowFirstColumn="0" w:firstRowLastColumn="0" w:lastRowFirstColumn="0" w:lastRowLastColumn="0"/>
              <w:rPr>
                <w:b w:val="0"/>
                <w:sz w:val="18"/>
                <w:szCs w:val="18"/>
              </w:rPr>
            </w:pPr>
            <w:r>
              <w:rPr>
                <w:color w:val="auto"/>
                <w:sz w:val="18"/>
                <w:szCs w:val="18"/>
              </w:rPr>
              <w:t>SFA</w:t>
            </w:r>
          </w:p>
        </w:tc>
        <w:tc>
          <w:tcPr>
            <w:tcW w:w="1161" w:type="dxa"/>
          </w:tcPr>
          <w:p w:rsidR="005D43AB" w:rsidRDefault="005D43AB" w:rsidP="001463D5">
            <w:pPr>
              <w:spacing w:before="240"/>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color w:val="auto"/>
                <w:sz w:val="18"/>
                <w:szCs w:val="18"/>
              </w:rPr>
              <w:t>MUFA</w:t>
            </w:r>
          </w:p>
        </w:tc>
        <w:tc>
          <w:tcPr>
            <w:tcW w:w="1161" w:type="dxa"/>
          </w:tcPr>
          <w:p w:rsidR="005D43AB" w:rsidRPr="001463D5" w:rsidRDefault="005D43AB" w:rsidP="005D43AB">
            <w:pPr>
              <w:spacing w:before="240"/>
              <w:jc w:val="center"/>
              <w:cnfStyle w:val="100000000000" w:firstRow="1" w:lastRow="0" w:firstColumn="0" w:lastColumn="0" w:oddVBand="0" w:evenVBand="0" w:oddHBand="0" w:evenHBand="0" w:firstRowFirstColumn="0" w:firstRowLastColumn="0" w:lastRowFirstColumn="0" w:lastRowLastColumn="0"/>
              <w:rPr>
                <w:sz w:val="18"/>
                <w:szCs w:val="18"/>
              </w:rPr>
            </w:pPr>
            <w:r>
              <w:rPr>
                <w:color w:val="auto"/>
                <w:sz w:val="18"/>
                <w:szCs w:val="18"/>
              </w:rPr>
              <w:t>PUFA</w:t>
            </w:r>
          </w:p>
        </w:tc>
        <w:tc>
          <w:tcPr>
            <w:tcW w:w="1161" w:type="dxa"/>
          </w:tcPr>
          <w:p w:rsidR="005D43AB" w:rsidRPr="005D43AB" w:rsidRDefault="005D43AB" w:rsidP="005D43AB">
            <w:pPr>
              <w:spacing w:before="24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TFA</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CF3D63" w:rsidRPr="00CF3D63" w:rsidRDefault="00CF3D63" w:rsidP="00850553">
            <w:pPr>
              <w:spacing w:before="240"/>
              <w:rPr>
                <w:sz w:val="18"/>
                <w:szCs w:val="18"/>
              </w:rPr>
            </w:pPr>
            <w:r w:rsidRPr="00CF3D63">
              <w:rPr>
                <w:sz w:val="18"/>
                <w:szCs w:val="18"/>
              </w:rPr>
              <w:t>Takeaway Foods</w:t>
            </w: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Chicken Nuggets/Products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17.3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3.8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7.0</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3.5</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0.23</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Crumbed/Battered Fish Fillets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21</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10.7</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5.3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2.5</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0.21</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Falafel</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9</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13.1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4.6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4.9</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0.12</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Fried Noodle Dishes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9</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5.6</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2.2</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1.5</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0.02</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Hot Chips/Potato Products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8.5</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1.0</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5.3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0.10</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Pizza</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8.3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3.5</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2.9</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0.14</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Restaurant Style Takeaway Dishes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17</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7.9</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3.2</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0.14</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Spring Rolls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9</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10.4</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4.9</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0.21</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CF3D63" w:rsidRPr="00CF3D63" w:rsidRDefault="00CF3D63" w:rsidP="00850553">
            <w:pPr>
              <w:spacing w:before="240"/>
              <w:rPr>
                <w:sz w:val="18"/>
                <w:szCs w:val="18"/>
              </w:rPr>
            </w:pPr>
            <w:r w:rsidRPr="00CF3D63">
              <w:rPr>
                <w:sz w:val="18"/>
                <w:szCs w:val="18"/>
              </w:rPr>
              <w:t>Snack Foods</w:t>
            </w: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Extruded Snacks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25.5</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9.3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8.7</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0.19</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Popcorn</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11</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26.1</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11.1</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7.7</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3.0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0.20</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Potato Crisps &amp; Corn Chips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25.6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10.0</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14.2</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3.0</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0.20</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val="restart"/>
          </w:tcPr>
          <w:p w:rsidR="00CF3D63" w:rsidRPr="00CF3D63" w:rsidRDefault="00CF3D63" w:rsidP="00850553">
            <w:pPr>
              <w:spacing w:before="240"/>
              <w:rPr>
                <w:sz w:val="18"/>
                <w:szCs w:val="18"/>
              </w:rPr>
            </w:pPr>
            <w:r w:rsidRPr="00CF3D63">
              <w:rPr>
                <w:sz w:val="18"/>
                <w:szCs w:val="18"/>
              </w:rPr>
              <w:t>Fats &amp; Oils</w:t>
            </w: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Edible Oil Spreads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18</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64.3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15.7</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26.3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13.9</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0.65</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Oil Based Dressings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26.6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2.7</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8.7</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12.1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0.30</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Vegetable Oils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12</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100.0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14.5</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59.3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27.7</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0.71</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CF3D63" w:rsidRPr="00CF3D63" w:rsidRDefault="00CF3D63" w:rsidP="00850553">
            <w:pPr>
              <w:spacing w:before="240"/>
              <w:rPr>
                <w:sz w:val="18"/>
                <w:szCs w:val="18"/>
              </w:rPr>
            </w:pPr>
            <w:r w:rsidRPr="00CF3D63">
              <w:rPr>
                <w:sz w:val="18"/>
                <w:szCs w:val="18"/>
              </w:rPr>
              <w:t>Meat Products</w:t>
            </w: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Meat Pies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12</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11.8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6.0</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4.1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0.42</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Sausage Rolls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14</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14.1</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7.1</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4.3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0.62</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CF3D63" w:rsidRPr="00CF3D63" w:rsidRDefault="00CF3D63" w:rsidP="00850553">
            <w:pPr>
              <w:spacing w:before="240"/>
              <w:rPr>
                <w:sz w:val="18"/>
                <w:szCs w:val="18"/>
              </w:rPr>
            </w:pPr>
            <w:r w:rsidRPr="00CF3D63">
              <w:rPr>
                <w:sz w:val="18"/>
                <w:szCs w:val="18"/>
              </w:rPr>
              <w:t>Bakery Products</w:t>
            </w: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Choc Chip Biscuits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19</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22.3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13.0</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6.5</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0.30</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Chocolate Coated and Chocolate Filled Biscuits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12</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24.8</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13.8</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8.3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1.9</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0.21</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Cream Biscuits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22.6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13.2</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7.5</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0.25</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Croissant</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23.1</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15.6</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4.6</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0.9</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1.02</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Custard Baked Goods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10</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12.6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7.4</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3.8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0.58</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 xml:space="preserve">Desserts </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16</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13.2</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7.3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5.6</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1.2</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0.38</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Donut</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14</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19.8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8.2</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7.6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0.39</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Pikelets/Pancakes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8</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2.7</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0.6</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0.9</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&lt;LOR</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Prepared Pastry</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18.1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10.8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5.6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0.96</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Savoury Biscuits - Rice Crackers and Crispbreads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10.0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1.7</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5.1</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1.7</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0.04</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Savoury Biscuits- Standard</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17.7</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5.0</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8.1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2.5</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0.20</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Scones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8</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8.8</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3.7</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3.0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0.10</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Shelf Stable Cakes - Cream Filled</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18.9</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6.8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6.6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2.0</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0.09</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Shelf Stable Cakes - No Cream</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12</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11.0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4.1</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4.0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1.8</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0.17</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Sweet Biscuits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12</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15.1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8.1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5.7</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1.7</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0.10</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Sweet Muffins &amp; Banana Bread</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16.0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1.7</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8.4</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3.3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0.20</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CF3D63" w:rsidRPr="00CF3D63" w:rsidRDefault="00CF3D63" w:rsidP="00850553">
            <w:pPr>
              <w:spacing w:before="240"/>
              <w:rPr>
                <w:sz w:val="18"/>
                <w:szCs w:val="18"/>
              </w:rPr>
            </w:pPr>
            <w:r w:rsidRPr="00CF3D63">
              <w:rPr>
                <w:sz w:val="18"/>
                <w:szCs w:val="18"/>
              </w:rPr>
              <w:t>Others</w:t>
            </w:r>
          </w:p>
        </w:tc>
        <w:tc>
          <w:tcPr>
            <w:tcW w:w="5103" w:type="dxa"/>
          </w:tcPr>
          <w:p w:rsidR="00CF3D63" w:rsidRPr="00CF3D63" w:rsidRDefault="00A10C20"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Confectionery</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29.9</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19.0</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9.3</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0.9</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0.12</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Dips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8</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19.9</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9.7</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5.1</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0.21</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Dry Mix Pasta</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4.5</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0.7</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0.9</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0.06</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Nut Based Spreads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45.1</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8.0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19.0</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5.8</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0.13</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Sauces</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5.5</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1.7</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1.7</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0.6</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0.02</w:t>
            </w:r>
          </w:p>
        </w:tc>
      </w:tr>
      <w:tr w:rsidR="00CF3D63" w:rsidRPr="00FF13E5" w:rsidTr="00F56291">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Snack Bars</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15</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14.6</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7.5</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4.6</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2.3</w:t>
            </w:r>
          </w:p>
        </w:tc>
        <w:tc>
          <w:tcPr>
            <w:tcW w:w="1161" w:type="dxa"/>
          </w:tcPr>
          <w:p w:rsidR="00CF3D63" w:rsidRPr="00CF3D63" w:rsidRDefault="00CF3D63" w:rsidP="0085055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F3D63">
              <w:rPr>
                <w:color w:val="000000"/>
                <w:sz w:val="18"/>
                <w:szCs w:val="18"/>
              </w:rPr>
              <w:t>&lt;LOR</w:t>
            </w:r>
          </w:p>
        </w:tc>
      </w:tr>
      <w:tr w:rsidR="00CF3D63" w:rsidRPr="00FF13E5" w:rsidTr="00F5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CF3D63" w:rsidRPr="00CF3D63" w:rsidRDefault="00CF3D63" w:rsidP="00850553">
            <w:pPr>
              <w:spacing w:before="240"/>
              <w:rPr>
                <w:sz w:val="18"/>
                <w:szCs w:val="18"/>
              </w:rPr>
            </w:pPr>
          </w:p>
        </w:tc>
        <w:tc>
          <w:tcPr>
            <w:tcW w:w="5103" w:type="dxa"/>
          </w:tcPr>
          <w:p w:rsidR="00CF3D63" w:rsidRPr="00CF3D63" w:rsidRDefault="00CF3D63" w:rsidP="00850553">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Toasted Style Muesli Cereal</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15.7</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2.8</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7.1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4.1</w:t>
            </w:r>
          </w:p>
        </w:tc>
        <w:tc>
          <w:tcPr>
            <w:tcW w:w="1161" w:type="dxa"/>
          </w:tcPr>
          <w:p w:rsidR="00CF3D63" w:rsidRPr="00CF3D63" w:rsidRDefault="00CF3D63" w:rsidP="0085055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F3D63">
              <w:rPr>
                <w:color w:val="000000"/>
                <w:sz w:val="18"/>
                <w:szCs w:val="18"/>
              </w:rPr>
              <w:t>&lt;LOR</w:t>
            </w:r>
          </w:p>
        </w:tc>
      </w:tr>
    </w:tbl>
    <w:p w:rsidR="000B6DF7" w:rsidRDefault="000B6DF7" w:rsidP="008E314D">
      <w:pPr>
        <w:pStyle w:val="Heading2"/>
        <w:sectPr w:rsidR="000B6DF7" w:rsidSect="000B6DF7">
          <w:footerReference w:type="default" r:id="rId16"/>
          <w:footnotePr>
            <w:numRestart w:val="eachSect"/>
          </w:footnotePr>
          <w:pgSz w:w="16838" w:h="11906" w:orient="landscape"/>
          <w:pgMar w:top="709" w:right="1418" w:bottom="709" w:left="1418" w:header="709" w:footer="709" w:gutter="0"/>
          <w:cols w:space="708"/>
          <w:docGrid w:linePitch="360"/>
        </w:sectPr>
      </w:pPr>
    </w:p>
    <w:p w:rsidR="00DF5914" w:rsidRDefault="00DF5914" w:rsidP="00DF5914">
      <w:pPr>
        <w:pStyle w:val="Heading1"/>
      </w:pPr>
      <w:bookmarkStart w:id="29" w:name="_Toc389652009"/>
      <w:bookmarkStart w:id="30" w:name="_Toc387832030"/>
      <w:r>
        <w:lastRenderedPageBreak/>
        <w:t xml:space="preserve">8 </w:t>
      </w:r>
      <w:r>
        <w:tab/>
        <w:t>Comparison of TFA concentrations with previous surveys</w:t>
      </w:r>
      <w:bookmarkEnd w:id="29"/>
    </w:p>
    <w:p w:rsidR="000B6DF7" w:rsidRDefault="00DF5914" w:rsidP="008E314D">
      <w:pPr>
        <w:pStyle w:val="Heading2"/>
      </w:pPr>
      <w:bookmarkStart w:id="31" w:name="_Toc389652010"/>
      <w:r>
        <w:t>8.1</w:t>
      </w:r>
      <w:r w:rsidR="00850553">
        <w:tab/>
      </w:r>
      <w:r w:rsidR="000B6DF7">
        <w:t>Change in TFA concentrations in selected product categories from 2008</w:t>
      </w:r>
      <w:r w:rsidR="004B69D4">
        <w:t>‒</w:t>
      </w:r>
      <w:r w:rsidR="000B6DF7">
        <w:t>09 to 2013</w:t>
      </w:r>
      <w:bookmarkEnd w:id="30"/>
      <w:bookmarkEnd w:id="31"/>
      <w:r w:rsidR="000B6DF7">
        <w:t xml:space="preserve"> </w:t>
      </w:r>
    </w:p>
    <w:p w:rsidR="000B6DF7" w:rsidRDefault="000B6DF7" w:rsidP="000B6DF7">
      <w:pPr>
        <w:rPr>
          <w:rFonts w:cs="Arial"/>
          <w:color w:val="000000"/>
          <w:lang w:eastAsia="en-GB"/>
        </w:rPr>
      </w:pPr>
      <w:r>
        <w:rPr>
          <w:rFonts w:cs="Arial"/>
          <w:color w:val="000000"/>
          <w:lang w:eastAsia="en-GB"/>
        </w:rPr>
        <w:t>To establish</w:t>
      </w:r>
      <w:r w:rsidRPr="00301D06">
        <w:rPr>
          <w:rFonts w:cs="Arial"/>
          <w:color w:val="000000"/>
          <w:lang w:eastAsia="en-GB"/>
        </w:rPr>
        <w:t xml:space="preserve"> whether there ha</w:t>
      </w:r>
      <w:r>
        <w:rPr>
          <w:rFonts w:cs="Arial"/>
          <w:color w:val="000000"/>
          <w:lang w:eastAsia="en-GB"/>
        </w:rPr>
        <w:t>s been a measurable change in TFA concentration</w:t>
      </w:r>
      <w:r w:rsidRPr="00301D06">
        <w:rPr>
          <w:rFonts w:cs="Arial"/>
          <w:color w:val="000000"/>
          <w:lang w:eastAsia="en-GB"/>
        </w:rPr>
        <w:t xml:space="preserve">s in </w:t>
      </w:r>
      <w:r>
        <w:rPr>
          <w:rFonts w:cs="Arial"/>
          <w:color w:val="000000"/>
          <w:lang w:eastAsia="en-GB"/>
        </w:rPr>
        <w:t>comparable product categories from 2008</w:t>
      </w:r>
      <w:r w:rsidR="004B69D4">
        <w:rPr>
          <w:rFonts w:cs="Arial"/>
          <w:color w:val="000000"/>
          <w:lang w:eastAsia="en-GB"/>
        </w:rPr>
        <w:t>‒</w:t>
      </w:r>
      <w:r>
        <w:rPr>
          <w:rFonts w:cs="Arial"/>
          <w:color w:val="000000"/>
          <w:lang w:eastAsia="en-GB"/>
        </w:rPr>
        <w:t>09</w:t>
      </w:r>
      <w:r w:rsidR="00C8206F">
        <w:rPr>
          <w:rFonts w:cs="Arial"/>
          <w:color w:val="000000"/>
          <w:lang w:eastAsia="en-GB"/>
        </w:rPr>
        <w:t xml:space="preserve"> (refer to Section 5.2)</w:t>
      </w:r>
      <w:r>
        <w:rPr>
          <w:rFonts w:cs="Arial"/>
          <w:color w:val="000000"/>
          <w:lang w:eastAsia="en-GB"/>
        </w:rPr>
        <w:t xml:space="preserve"> to 2013 in Australia and New Zealand, </w:t>
      </w:r>
      <w:r w:rsidRPr="00301D06">
        <w:rPr>
          <w:rFonts w:cs="Arial"/>
          <w:color w:val="000000"/>
          <w:lang w:eastAsia="en-GB"/>
        </w:rPr>
        <w:t>TFA conc</w:t>
      </w:r>
      <w:r>
        <w:rPr>
          <w:rFonts w:cs="Arial"/>
          <w:color w:val="000000"/>
          <w:lang w:eastAsia="en-GB"/>
        </w:rPr>
        <w:t xml:space="preserve">entrations from </w:t>
      </w:r>
      <w:r w:rsidR="00406B87">
        <w:rPr>
          <w:rFonts w:cs="Arial"/>
          <w:color w:val="000000"/>
          <w:lang w:eastAsia="en-GB"/>
        </w:rPr>
        <w:t>the two analytical surveys</w:t>
      </w:r>
      <w:r>
        <w:rPr>
          <w:rFonts w:cs="Arial"/>
          <w:color w:val="000000"/>
          <w:lang w:eastAsia="en-GB"/>
        </w:rPr>
        <w:t xml:space="preserve"> were compared </w:t>
      </w:r>
      <w:r w:rsidRPr="00301D06">
        <w:rPr>
          <w:rFonts w:cs="Arial"/>
          <w:color w:val="000000"/>
          <w:lang w:eastAsia="en-GB"/>
        </w:rPr>
        <w:t xml:space="preserve">in </w:t>
      </w:r>
      <w:r w:rsidR="004B69D4">
        <w:rPr>
          <w:rFonts w:cs="Arial"/>
          <w:color w:val="000000"/>
          <w:lang w:eastAsia="en-GB"/>
        </w:rPr>
        <w:br/>
      </w:r>
      <w:r w:rsidRPr="00301D06">
        <w:rPr>
          <w:rFonts w:cs="Arial"/>
          <w:color w:val="000000"/>
          <w:lang w:eastAsia="en-GB"/>
        </w:rPr>
        <w:t>side</w:t>
      </w:r>
      <w:r w:rsidR="004B69D4">
        <w:rPr>
          <w:rFonts w:cs="Arial"/>
          <w:color w:val="000000"/>
          <w:lang w:eastAsia="en-GB"/>
        </w:rPr>
        <w:t>-</w:t>
      </w:r>
      <w:r w:rsidRPr="00301D06">
        <w:rPr>
          <w:rFonts w:cs="Arial"/>
          <w:color w:val="000000"/>
          <w:lang w:eastAsia="en-GB"/>
        </w:rPr>
        <w:t>by</w:t>
      </w:r>
      <w:r w:rsidR="004B69D4">
        <w:rPr>
          <w:rFonts w:cs="Arial"/>
          <w:color w:val="000000"/>
          <w:lang w:eastAsia="en-GB"/>
        </w:rPr>
        <w:t>-</w:t>
      </w:r>
      <w:r w:rsidRPr="00301D06">
        <w:rPr>
          <w:rFonts w:cs="Arial"/>
          <w:color w:val="000000"/>
          <w:lang w:eastAsia="en-GB"/>
        </w:rPr>
        <w:t xml:space="preserve">side </w:t>
      </w:r>
      <w:r>
        <w:rPr>
          <w:rFonts w:cs="Arial"/>
          <w:color w:val="000000"/>
          <w:lang w:eastAsia="en-GB"/>
        </w:rPr>
        <w:t>Box-and-Whisker</w:t>
      </w:r>
      <w:r w:rsidRPr="00301D06">
        <w:rPr>
          <w:rFonts w:cs="Arial"/>
          <w:color w:val="000000"/>
          <w:lang w:eastAsia="en-GB"/>
        </w:rPr>
        <w:t xml:space="preserve"> plots</w:t>
      </w:r>
      <w:r>
        <w:rPr>
          <w:rFonts w:cs="Arial"/>
          <w:color w:val="000000"/>
          <w:lang w:eastAsia="en-GB"/>
        </w:rPr>
        <w:t xml:space="preserve"> </w:t>
      </w:r>
      <w:r w:rsidR="00627232">
        <w:rPr>
          <w:rFonts w:cs="Arial"/>
          <w:color w:val="000000"/>
          <w:lang w:eastAsia="en-GB"/>
        </w:rPr>
        <w:t>(refer to Figures 1</w:t>
      </w:r>
      <w:r w:rsidR="00627232">
        <w:t>–</w:t>
      </w:r>
      <w:r w:rsidRPr="005E2AAD">
        <w:rPr>
          <w:rFonts w:cs="Arial"/>
          <w:color w:val="000000"/>
          <w:lang w:eastAsia="en-GB"/>
        </w:rPr>
        <w:t>3).</w:t>
      </w:r>
      <w:r>
        <w:rPr>
          <w:rFonts w:cs="Arial"/>
          <w:color w:val="000000"/>
          <w:lang w:eastAsia="en-GB"/>
        </w:rPr>
        <w:t xml:space="preserve"> Inspection of the plots shows</w:t>
      </w:r>
      <w:r w:rsidRPr="00960E83">
        <w:rPr>
          <w:rFonts w:cs="Arial"/>
          <w:color w:val="000000"/>
          <w:lang w:eastAsia="en-GB"/>
        </w:rPr>
        <w:t xml:space="preserve"> that median values</w:t>
      </w:r>
      <w:r>
        <w:rPr>
          <w:rFonts w:cs="Arial"/>
          <w:color w:val="000000"/>
          <w:lang w:eastAsia="en-GB"/>
        </w:rPr>
        <w:t xml:space="preserve"> we</w:t>
      </w:r>
      <w:r w:rsidRPr="00960E83">
        <w:rPr>
          <w:rFonts w:cs="Arial"/>
          <w:color w:val="000000"/>
          <w:lang w:eastAsia="en-GB"/>
        </w:rPr>
        <w:t xml:space="preserve">re broadly similar for the two surveys across the </w:t>
      </w:r>
      <w:r>
        <w:rPr>
          <w:rFonts w:cs="Arial"/>
          <w:color w:val="000000"/>
          <w:lang w:eastAsia="en-GB"/>
        </w:rPr>
        <w:t xml:space="preserve">analysed </w:t>
      </w:r>
      <w:r w:rsidRPr="00960E83">
        <w:rPr>
          <w:rFonts w:cs="Arial"/>
          <w:color w:val="000000"/>
          <w:lang w:eastAsia="en-GB"/>
        </w:rPr>
        <w:t xml:space="preserve">product categories. </w:t>
      </w:r>
      <w:r>
        <w:rPr>
          <w:rFonts w:cs="Arial"/>
          <w:color w:val="000000"/>
          <w:lang w:eastAsia="en-GB"/>
        </w:rPr>
        <w:t>This conclusion was supported by statistical analyses of the data which showed that there were no significant (</w:t>
      </w:r>
      <w:r w:rsidR="00907161">
        <w:rPr>
          <w:rFonts w:cs="Arial"/>
          <w:color w:val="000000"/>
          <w:lang w:eastAsia="en-GB"/>
        </w:rPr>
        <w:t xml:space="preserve">i.e. </w:t>
      </w:r>
      <w:r>
        <w:rPr>
          <w:rFonts w:cs="Arial"/>
          <w:color w:val="000000"/>
          <w:lang w:eastAsia="en-GB"/>
        </w:rPr>
        <w:t xml:space="preserve">p&lt;0.01) differences between the product categories with the exception of chicken nuggets. </w:t>
      </w:r>
    </w:p>
    <w:p w:rsidR="000B6DF7" w:rsidRDefault="000B6DF7" w:rsidP="000B6DF7">
      <w:pPr>
        <w:rPr>
          <w:rFonts w:cs="Arial"/>
          <w:color w:val="000000"/>
          <w:lang w:eastAsia="en-GB"/>
        </w:rPr>
      </w:pPr>
    </w:p>
    <w:p w:rsidR="000B6DF7" w:rsidRDefault="000B6DF7" w:rsidP="000B6DF7">
      <w:pPr>
        <w:rPr>
          <w:rFonts w:cs="Arial"/>
          <w:color w:val="000000"/>
          <w:lang w:eastAsia="en-GB"/>
        </w:rPr>
      </w:pPr>
      <w:r>
        <w:rPr>
          <w:rFonts w:cs="Arial"/>
          <w:color w:val="000000"/>
          <w:lang w:eastAsia="en-GB"/>
        </w:rPr>
        <w:t xml:space="preserve">The key results are summarised below: </w:t>
      </w:r>
    </w:p>
    <w:p w:rsidR="000B6DF7" w:rsidRDefault="000B6DF7" w:rsidP="000B6DF7">
      <w:pPr>
        <w:rPr>
          <w:rFonts w:cs="Arial"/>
          <w:color w:val="000000"/>
          <w:lang w:eastAsia="en-GB"/>
        </w:rPr>
      </w:pPr>
    </w:p>
    <w:p w:rsidR="000B6DF7" w:rsidRPr="004B36B3" w:rsidRDefault="000B6DF7" w:rsidP="00850553">
      <w:pPr>
        <w:pStyle w:val="FSBullet"/>
        <w:rPr>
          <w:lang w:eastAsia="en-GB"/>
        </w:rPr>
      </w:pPr>
      <w:r w:rsidRPr="009635EB">
        <w:rPr>
          <w:lang w:eastAsia="en-GB"/>
        </w:rPr>
        <w:t>Slight,</w:t>
      </w:r>
      <w:r>
        <w:rPr>
          <w:lang w:eastAsia="en-GB"/>
        </w:rPr>
        <w:t xml:space="preserve"> but non-significant (p&gt;0.01</w:t>
      </w:r>
      <w:r w:rsidRPr="009635EB">
        <w:rPr>
          <w:lang w:eastAsia="en-GB"/>
        </w:rPr>
        <w:t>) decreases in median TFA values were observed for 10 product categories including</w:t>
      </w:r>
      <w:r>
        <w:rPr>
          <w:lang w:eastAsia="en-GB"/>
        </w:rPr>
        <w:t>:</w:t>
      </w:r>
      <w:r w:rsidRPr="009635EB">
        <w:t xml:space="preserve"> pizza, vegetable oils, meat pies, sausage rolls, cream biscuits, custard baked goods, donut, prepared pastry, shelf </w:t>
      </w:r>
      <w:r>
        <w:t>stable cakes and dry mix pasta.</w:t>
      </w:r>
    </w:p>
    <w:p w:rsidR="000B6DF7" w:rsidRPr="004B36B3" w:rsidRDefault="000B6DF7" w:rsidP="003B13B0">
      <w:pPr>
        <w:pStyle w:val="FSBullet"/>
        <w:numPr>
          <w:ilvl w:val="0"/>
          <w:numId w:val="0"/>
        </w:numPr>
        <w:ind w:left="567"/>
        <w:rPr>
          <w:lang w:eastAsia="en-GB"/>
        </w:rPr>
      </w:pPr>
    </w:p>
    <w:p w:rsidR="000B6DF7" w:rsidRPr="0040759B" w:rsidRDefault="000B6DF7" w:rsidP="00850553">
      <w:pPr>
        <w:pStyle w:val="FSBullet"/>
        <w:rPr>
          <w:lang w:eastAsia="en-GB"/>
        </w:rPr>
      </w:pPr>
      <w:r w:rsidRPr="0040759B">
        <w:rPr>
          <w:lang w:eastAsia="en-GB"/>
        </w:rPr>
        <w:t>Slight increases in TFA median concentrations were observed for 15 product categories including</w:t>
      </w:r>
      <w:r>
        <w:rPr>
          <w:lang w:eastAsia="en-GB"/>
        </w:rPr>
        <w:t>:</w:t>
      </w:r>
      <w:r w:rsidRPr="0040759B">
        <w:rPr>
          <w:lang w:eastAsia="en-GB"/>
        </w:rPr>
        <w:t xml:space="preserve"> </w:t>
      </w:r>
      <w:r w:rsidRPr="0040759B">
        <w:rPr>
          <w:bCs/>
        </w:rPr>
        <w:t>chicken nuggets/products</w:t>
      </w:r>
      <w:r>
        <w:rPr>
          <w:bCs/>
        </w:rPr>
        <w:t>,</w:t>
      </w:r>
      <w:r w:rsidRPr="0040759B">
        <w:rPr>
          <w:lang w:eastAsia="en-GB"/>
        </w:rPr>
        <w:t xml:space="preserve"> </w:t>
      </w:r>
      <w:r w:rsidRPr="0040759B">
        <w:rPr>
          <w:bCs/>
        </w:rPr>
        <w:t>crumbed/battered fish fillets</w:t>
      </w:r>
      <w:r w:rsidRPr="0040759B">
        <w:rPr>
          <w:lang w:eastAsia="en-GB"/>
        </w:rPr>
        <w:t>, f</w:t>
      </w:r>
      <w:r w:rsidRPr="0040759B">
        <w:rPr>
          <w:bCs/>
        </w:rPr>
        <w:t>alafel</w:t>
      </w:r>
      <w:r w:rsidRPr="0040759B">
        <w:rPr>
          <w:lang w:eastAsia="en-GB"/>
        </w:rPr>
        <w:t>, r</w:t>
      </w:r>
      <w:r w:rsidRPr="0040759B">
        <w:rPr>
          <w:bCs/>
        </w:rPr>
        <w:t>estaurant style takeaway dishes, spring rolls,</w:t>
      </w:r>
      <w:r w:rsidRPr="0040759B">
        <w:rPr>
          <w:lang w:eastAsia="en-GB"/>
        </w:rPr>
        <w:t xml:space="preserve"> </w:t>
      </w:r>
      <w:r w:rsidRPr="0040759B">
        <w:rPr>
          <w:bCs/>
        </w:rPr>
        <w:t>extruded snacks</w:t>
      </w:r>
      <w:r w:rsidRPr="0040759B">
        <w:rPr>
          <w:lang w:eastAsia="en-GB"/>
        </w:rPr>
        <w:t xml:space="preserve">, </w:t>
      </w:r>
      <w:r w:rsidRPr="0040759B">
        <w:rPr>
          <w:bCs/>
        </w:rPr>
        <w:t>popcorn</w:t>
      </w:r>
      <w:r w:rsidRPr="0040759B">
        <w:rPr>
          <w:lang w:eastAsia="en-GB"/>
        </w:rPr>
        <w:t>, p</w:t>
      </w:r>
      <w:r w:rsidRPr="0040759B">
        <w:rPr>
          <w:bCs/>
        </w:rPr>
        <w:t xml:space="preserve">otato crisps </w:t>
      </w:r>
      <w:r>
        <w:rPr>
          <w:bCs/>
        </w:rPr>
        <w:t>and</w:t>
      </w:r>
      <w:r w:rsidRPr="0040759B">
        <w:rPr>
          <w:bCs/>
        </w:rPr>
        <w:t xml:space="preserve"> corn chips, </w:t>
      </w:r>
      <w:r w:rsidRPr="0040759B">
        <w:rPr>
          <w:lang w:eastAsia="en-GB"/>
        </w:rPr>
        <w:t>e</w:t>
      </w:r>
      <w:r w:rsidRPr="0040759B">
        <w:rPr>
          <w:bCs/>
        </w:rPr>
        <w:t>dible oil spreads</w:t>
      </w:r>
      <w:r w:rsidRPr="0040759B">
        <w:rPr>
          <w:lang w:eastAsia="en-GB"/>
        </w:rPr>
        <w:t xml:space="preserve">, </w:t>
      </w:r>
      <w:r w:rsidRPr="0040759B">
        <w:rPr>
          <w:bCs/>
        </w:rPr>
        <w:t>oil based dressings,</w:t>
      </w:r>
      <w:r w:rsidRPr="0040759B">
        <w:rPr>
          <w:lang w:eastAsia="en-GB"/>
        </w:rPr>
        <w:t xml:space="preserve"> </w:t>
      </w:r>
      <w:r w:rsidRPr="0040759B">
        <w:rPr>
          <w:bCs/>
        </w:rPr>
        <w:t>chocolate biscuits</w:t>
      </w:r>
      <w:r w:rsidRPr="0040759B">
        <w:rPr>
          <w:lang w:eastAsia="en-GB"/>
        </w:rPr>
        <w:t>, c</w:t>
      </w:r>
      <w:r w:rsidRPr="0040759B">
        <w:t>roissant</w:t>
      </w:r>
      <w:r w:rsidRPr="0040759B">
        <w:rPr>
          <w:lang w:eastAsia="en-GB"/>
        </w:rPr>
        <w:t>, s</w:t>
      </w:r>
      <w:r w:rsidRPr="0040759B">
        <w:t>avoury biscuits</w:t>
      </w:r>
      <w:r w:rsidRPr="0040759B">
        <w:rPr>
          <w:lang w:eastAsia="en-GB"/>
        </w:rPr>
        <w:t>, s</w:t>
      </w:r>
      <w:r w:rsidRPr="0040759B">
        <w:t xml:space="preserve">weet muffins </w:t>
      </w:r>
      <w:r>
        <w:t>and</w:t>
      </w:r>
      <w:r w:rsidRPr="0040759B">
        <w:t xml:space="preserve"> banana bread and nut based spreads. The increases were statistically significant (p&lt;0.01) for only </w:t>
      </w:r>
      <w:r>
        <w:t>one</w:t>
      </w:r>
      <w:r w:rsidRPr="0040759B">
        <w:t xml:space="preserve"> product category - chicken nuggets/products. However this increase was smal</w:t>
      </w:r>
      <w:r w:rsidR="002867E4">
        <w:t>l in absolute terms, from 0.1 g</w:t>
      </w:r>
      <w:r w:rsidRPr="0040759B">
        <w:t>/</w:t>
      </w:r>
      <w:r w:rsidR="002867E4">
        <w:t>100 g food in 2008</w:t>
      </w:r>
      <w:r w:rsidR="004B69D4">
        <w:t>‒</w:t>
      </w:r>
      <w:r w:rsidR="002867E4">
        <w:t>09 to 0.2 g/</w:t>
      </w:r>
      <w:r w:rsidRPr="0040759B">
        <w:t xml:space="preserve">100 g food in 2013. </w:t>
      </w:r>
      <w:r>
        <w:t>This product category was widened slightly to include other chicken products in the current survey which may have contributed to this result.</w:t>
      </w:r>
    </w:p>
    <w:p w:rsidR="000B6DF7" w:rsidRPr="0040759B" w:rsidRDefault="000B6DF7" w:rsidP="003B13B0">
      <w:pPr>
        <w:pStyle w:val="FSBullet"/>
        <w:numPr>
          <w:ilvl w:val="0"/>
          <w:numId w:val="0"/>
        </w:numPr>
        <w:ind w:left="567"/>
        <w:rPr>
          <w:lang w:eastAsia="en-GB"/>
        </w:rPr>
      </w:pPr>
    </w:p>
    <w:p w:rsidR="000B6DF7" w:rsidRPr="001B4434" w:rsidRDefault="000B6DF7" w:rsidP="00850553">
      <w:pPr>
        <w:pStyle w:val="FSBullet"/>
        <w:rPr>
          <w:lang w:eastAsia="en-GB"/>
        </w:rPr>
      </w:pPr>
      <w:r w:rsidRPr="009635EB">
        <w:t xml:space="preserve">For the remaining six products there was no difference in median values </w:t>
      </w:r>
      <w:r>
        <w:t xml:space="preserve">across the </w:t>
      </w:r>
      <w:r w:rsidRPr="009635EB">
        <w:t>surveys</w:t>
      </w:r>
      <w:r>
        <w:t xml:space="preserve"> with no statistically significant change observed (p&gt;0.01).</w:t>
      </w:r>
    </w:p>
    <w:p w:rsidR="000B6DF7" w:rsidRDefault="000B6DF7" w:rsidP="000B6DF7">
      <w:pPr>
        <w:rPr>
          <w:rFonts w:cs="Arial"/>
          <w:color w:val="000000"/>
          <w:lang w:eastAsia="en-GB"/>
        </w:rPr>
      </w:pPr>
    </w:p>
    <w:p w:rsidR="000B6DF7" w:rsidRPr="00CD2540" w:rsidRDefault="000B6DF7" w:rsidP="000B6DF7">
      <w:pPr>
        <w:rPr>
          <w:rFonts w:cs="Arial"/>
          <w:color w:val="000000"/>
          <w:lang w:eastAsia="en-GB"/>
        </w:rPr>
      </w:pPr>
      <w:r>
        <w:rPr>
          <w:rFonts w:cs="Arial"/>
          <w:color w:val="000000"/>
          <w:lang w:eastAsia="en-GB"/>
        </w:rPr>
        <w:t>Median concentrations of TFA</w:t>
      </w:r>
      <w:r w:rsidR="002867E4">
        <w:rPr>
          <w:rFonts w:cs="Arial"/>
          <w:color w:val="000000"/>
          <w:lang w:eastAsia="en-GB"/>
        </w:rPr>
        <w:t>s</w:t>
      </w:r>
      <w:r>
        <w:rPr>
          <w:rFonts w:cs="Arial"/>
          <w:color w:val="000000"/>
          <w:lang w:eastAsia="en-GB"/>
        </w:rPr>
        <w:t xml:space="preserve"> in selected product categories for 2008</w:t>
      </w:r>
      <w:r w:rsidR="004B69D4">
        <w:rPr>
          <w:rFonts w:cs="Arial"/>
          <w:color w:val="000000"/>
          <w:lang w:eastAsia="en-GB"/>
        </w:rPr>
        <w:t>‒</w:t>
      </w:r>
      <w:r>
        <w:rPr>
          <w:rFonts w:cs="Arial"/>
          <w:color w:val="000000"/>
          <w:lang w:eastAsia="en-GB"/>
        </w:rPr>
        <w:t xml:space="preserve">09 and 2013 are also tabulated in Appendix 4. </w:t>
      </w:r>
    </w:p>
    <w:p w:rsidR="000B6DF7" w:rsidRDefault="000B6DF7" w:rsidP="000B6DF7">
      <w:pPr>
        <w:rPr>
          <w:rFonts w:cs="Arial"/>
          <w:color w:val="000000"/>
          <w:lang w:eastAsia="en-GB"/>
        </w:rPr>
        <w:sectPr w:rsidR="000B6DF7" w:rsidSect="000B6DF7">
          <w:footerReference w:type="default" r:id="rId17"/>
          <w:footnotePr>
            <w:numRestart w:val="eachSect"/>
          </w:footnotePr>
          <w:pgSz w:w="11906" w:h="16838"/>
          <w:pgMar w:top="1440" w:right="1440" w:bottom="1440" w:left="1440" w:header="709" w:footer="709" w:gutter="0"/>
          <w:cols w:space="708"/>
          <w:docGrid w:linePitch="360"/>
        </w:sectPr>
      </w:pPr>
      <w:r>
        <w:rPr>
          <w:rFonts w:cs="Arial"/>
          <w:color w:val="000000"/>
          <w:lang w:eastAsia="en-GB"/>
        </w:rPr>
        <w:t>.</w:t>
      </w:r>
    </w:p>
    <w:p w:rsidR="000B6DF7" w:rsidRDefault="000B6DF7" w:rsidP="000B6DF7">
      <w:r>
        <w:rPr>
          <w:noProof/>
          <w:lang w:val="en-NZ" w:eastAsia="en-NZ" w:bidi="ar-SA"/>
        </w:rPr>
        <w:lastRenderedPageBreak/>
        <w:drawing>
          <wp:inline distT="0" distB="0" distL="0" distR="0" wp14:anchorId="364B63C3" wp14:editId="053F0F01">
            <wp:extent cx="9377917" cy="5571460"/>
            <wp:effectExtent l="0" t="0" r="1397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B6DF7" w:rsidRPr="00BE51FC" w:rsidRDefault="000B6DF7" w:rsidP="00850553">
      <w:pPr>
        <w:spacing w:before="240" w:after="240"/>
        <w:ind w:left="1134" w:right="-428" w:hanging="1134"/>
        <w:rPr>
          <w:rFonts w:eastAsiaTheme="majorEastAsia" w:cs="Arial"/>
          <w:b/>
          <w:bCs/>
          <w:sz w:val="20"/>
          <w:szCs w:val="20"/>
        </w:rPr>
      </w:pPr>
      <w:r>
        <w:rPr>
          <w:rFonts w:eastAsiaTheme="majorEastAsia" w:cs="Arial"/>
          <w:b/>
          <w:bCs/>
        </w:rPr>
        <w:t>Figure 1</w:t>
      </w:r>
      <w:r w:rsidR="00850553">
        <w:rPr>
          <w:rFonts w:eastAsiaTheme="majorEastAsia" w:cs="Arial"/>
          <w:b/>
          <w:bCs/>
        </w:rPr>
        <w:tab/>
      </w:r>
      <w:r>
        <w:rPr>
          <w:rFonts w:eastAsiaTheme="majorEastAsia" w:cs="Arial"/>
          <w:bCs/>
          <w:sz w:val="20"/>
          <w:szCs w:val="20"/>
        </w:rPr>
        <w:t>Box-and-Whisker</w:t>
      </w:r>
      <w:r w:rsidRPr="00BE51FC">
        <w:rPr>
          <w:rFonts w:eastAsiaTheme="majorEastAsia" w:cs="Arial"/>
          <w:bCs/>
          <w:sz w:val="20"/>
          <w:szCs w:val="20"/>
        </w:rPr>
        <w:t xml:space="preserve"> plots showing median</w:t>
      </w:r>
      <w:r w:rsidR="00DF5914">
        <w:rPr>
          <w:rFonts w:eastAsiaTheme="majorEastAsia" w:cs="Arial"/>
          <w:bCs/>
          <w:sz w:val="20"/>
          <w:szCs w:val="20"/>
        </w:rPr>
        <w:t>s</w:t>
      </w:r>
      <w:r w:rsidRPr="00BE51FC">
        <w:rPr>
          <w:rFonts w:eastAsiaTheme="majorEastAsia" w:cs="Arial"/>
          <w:bCs/>
          <w:sz w:val="20"/>
          <w:szCs w:val="20"/>
        </w:rPr>
        <w:t xml:space="preserve">, </w:t>
      </w:r>
      <w:r>
        <w:rPr>
          <w:rFonts w:eastAsiaTheme="majorEastAsia" w:cs="Arial"/>
          <w:bCs/>
          <w:sz w:val="20"/>
          <w:szCs w:val="20"/>
        </w:rPr>
        <w:t xml:space="preserve">and </w:t>
      </w:r>
      <w:r w:rsidRPr="00BE51FC">
        <w:rPr>
          <w:rFonts w:eastAsiaTheme="majorEastAsia" w:cs="Arial"/>
          <w:bCs/>
          <w:sz w:val="20"/>
          <w:szCs w:val="20"/>
        </w:rPr>
        <w:t>5</w:t>
      </w:r>
      <w:r w:rsidRPr="00BE51FC">
        <w:rPr>
          <w:rFonts w:eastAsiaTheme="majorEastAsia" w:cs="Arial"/>
          <w:bCs/>
          <w:sz w:val="20"/>
          <w:szCs w:val="20"/>
          <w:vertAlign w:val="superscript"/>
        </w:rPr>
        <w:t>th</w:t>
      </w:r>
      <w:r w:rsidRPr="00BE51FC">
        <w:rPr>
          <w:rFonts w:eastAsiaTheme="majorEastAsia" w:cs="Arial"/>
          <w:bCs/>
          <w:sz w:val="20"/>
          <w:szCs w:val="20"/>
        </w:rPr>
        <w:t xml:space="preserve"> and 95</w:t>
      </w:r>
      <w:r w:rsidRPr="00BE51FC">
        <w:rPr>
          <w:rFonts w:eastAsiaTheme="majorEastAsia" w:cs="Arial"/>
          <w:bCs/>
          <w:sz w:val="20"/>
          <w:szCs w:val="20"/>
          <w:vertAlign w:val="superscript"/>
        </w:rPr>
        <w:t>th</w:t>
      </w:r>
      <w:r w:rsidRPr="00BE51FC">
        <w:rPr>
          <w:rFonts w:eastAsiaTheme="majorEastAsia" w:cs="Arial"/>
          <w:bCs/>
          <w:sz w:val="20"/>
          <w:szCs w:val="20"/>
        </w:rPr>
        <w:t xml:space="preserve"> percentiles for TFA concentrations in analysed product categories from the 2008</w:t>
      </w:r>
      <w:r w:rsidR="004B69D4">
        <w:rPr>
          <w:rFonts w:eastAsiaTheme="majorEastAsia" w:cs="Arial"/>
          <w:bCs/>
          <w:sz w:val="20"/>
          <w:szCs w:val="20"/>
        </w:rPr>
        <w:t>‒</w:t>
      </w:r>
      <w:r w:rsidRPr="00BE51FC">
        <w:rPr>
          <w:rFonts w:eastAsiaTheme="majorEastAsia" w:cs="Arial"/>
          <w:bCs/>
          <w:sz w:val="20"/>
          <w:szCs w:val="20"/>
        </w:rPr>
        <w:t>09 and 2013 survey</w:t>
      </w:r>
      <w:r>
        <w:rPr>
          <w:rFonts w:eastAsiaTheme="majorEastAsia" w:cs="Arial"/>
          <w:bCs/>
          <w:sz w:val="20"/>
          <w:szCs w:val="20"/>
        </w:rPr>
        <w:t>s</w:t>
      </w:r>
      <w:r w:rsidRPr="00BE51FC">
        <w:rPr>
          <w:rFonts w:eastAsiaTheme="majorEastAsia" w:cs="Arial"/>
          <w:bCs/>
          <w:sz w:val="20"/>
          <w:szCs w:val="20"/>
        </w:rPr>
        <w:t>. The lines in the middle of the boxes denote the median values, and the upper and lower boundaries of the boxes show the 5th and 95th percentiles, respectively. The whiskers extend to both the maximum and minimum values.</w:t>
      </w:r>
    </w:p>
    <w:p w:rsidR="000B6DF7" w:rsidRDefault="000B6DF7" w:rsidP="000B6DF7">
      <w:r>
        <w:br w:type="page"/>
      </w:r>
      <w:r>
        <w:rPr>
          <w:noProof/>
          <w:lang w:val="en-NZ" w:eastAsia="en-NZ" w:bidi="ar-SA"/>
        </w:rPr>
        <w:lastRenderedPageBreak/>
        <w:drawing>
          <wp:inline distT="0" distB="0" distL="0" distR="0" wp14:anchorId="5F2F40B3" wp14:editId="32D1FABB">
            <wp:extent cx="9431080" cy="5635256"/>
            <wp:effectExtent l="0" t="0" r="17780"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6DF7" w:rsidRPr="00D72989" w:rsidRDefault="000B6DF7" w:rsidP="00850553">
      <w:pPr>
        <w:spacing w:before="240" w:after="240"/>
        <w:ind w:left="1134" w:right="-428" w:hanging="1134"/>
        <w:rPr>
          <w:rFonts w:eastAsiaTheme="majorEastAsia" w:cs="Arial"/>
          <w:b/>
          <w:bCs/>
        </w:rPr>
      </w:pPr>
      <w:r>
        <w:rPr>
          <w:rFonts w:eastAsiaTheme="majorEastAsia" w:cs="Arial"/>
          <w:b/>
          <w:bCs/>
        </w:rPr>
        <w:t>Figure 2</w:t>
      </w:r>
      <w:r w:rsidR="00850553">
        <w:rPr>
          <w:rFonts w:eastAsiaTheme="majorEastAsia" w:cs="Arial"/>
          <w:b/>
          <w:bCs/>
        </w:rPr>
        <w:tab/>
      </w:r>
      <w:r>
        <w:rPr>
          <w:rFonts w:eastAsiaTheme="majorEastAsia" w:cs="Arial"/>
          <w:bCs/>
          <w:sz w:val="20"/>
          <w:szCs w:val="20"/>
        </w:rPr>
        <w:t>Box-and-Whisker plots showing median</w:t>
      </w:r>
      <w:r w:rsidR="00DF5914">
        <w:rPr>
          <w:rFonts w:eastAsiaTheme="majorEastAsia" w:cs="Arial"/>
          <w:bCs/>
          <w:sz w:val="20"/>
          <w:szCs w:val="20"/>
        </w:rPr>
        <w:t>s</w:t>
      </w:r>
      <w:r>
        <w:rPr>
          <w:rFonts w:eastAsiaTheme="majorEastAsia" w:cs="Arial"/>
          <w:bCs/>
          <w:sz w:val="20"/>
          <w:szCs w:val="20"/>
        </w:rPr>
        <w:t xml:space="preserve"> and</w:t>
      </w:r>
      <w:r w:rsidRPr="00BE51FC">
        <w:rPr>
          <w:rFonts w:eastAsiaTheme="majorEastAsia" w:cs="Arial"/>
          <w:bCs/>
          <w:sz w:val="20"/>
          <w:szCs w:val="20"/>
        </w:rPr>
        <w:t xml:space="preserve"> 5</w:t>
      </w:r>
      <w:r w:rsidRPr="00BE51FC">
        <w:rPr>
          <w:rFonts w:eastAsiaTheme="majorEastAsia" w:cs="Arial"/>
          <w:bCs/>
          <w:sz w:val="20"/>
          <w:szCs w:val="20"/>
          <w:vertAlign w:val="superscript"/>
        </w:rPr>
        <w:t>th</w:t>
      </w:r>
      <w:r w:rsidRPr="00BE51FC">
        <w:rPr>
          <w:rFonts w:eastAsiaTheme="majorEastAsia" w:cs="Arial"/>
          <w:bCs/>
          <w:sz w:val="20"/>
          <w:szCs w:val="20"/>
        </w:rPr>
        <w:t xml:space="preserve"> and 95</w:t>
      </w:r>
      <w:r w:rsidRPr="00BE51FC">
        <w:rPr>
          <w:rFonts w:eastAsiaTheme="majorEastAsia" w:cs="Arial"/>
          <w:bCs/>
          <w:sz w:val="20"/>
          <w:szCs w:val="20"/>
          <w:vertAlign w:val="superscript"/>
        </w:rPr>
        <w:t>th</w:t>
      </w:r>
      <w:r w:rsidRPr="00BE51FC">
        <w:rPr>
          <w:rFonts w:eastAsiaTheme="majorEastAsia" w:cs="Arial"/>
          <w:bCs/>
          <w:sz w:val="20"/>
          <w:szCs w:val="20"/>
        </w:rPr>
        <w:t xml:space="preserve"> percentiles for TFA concentrations in analysed product categories from the 2008</w:t>
      </w:r>
      <w:r w:rsidR="004B69D4">
        <w:rPr>
          <w:rFonts w:eastAsiaTheme="majorEastAsia" w:cs="Arial"/>
          <w:bCs/>
          <w:sz w:val="20"/>
          <w:szCs w:val="20"/>
        </w:rPr>
        <w:t>‒</w:t>
      </w:r>
      <w:r w:rsidRPr="00BE51FC">
        <w:rPr>
          <w:rFonts w:eastAsiaTheme="majorEastAsia" w:cs="Arial"/>
          <w:bCs/>
          <w:sz w:val="20"/>
          <w:szCs w:val="20"/>
        </w:rPr>
        <w:t>09 and 2013 survey</w:t>
      </w:r>
      <w:r>
        <w:rPr>
          <w:rFonts w:eastAsiaTheme="majorEastAsia" w:cs="Arial"/>
          <w:bCs/>
          <w:sz w:val="20"/>
          <w:szCs w:val="20"/>
        </w:rPr>
        <w:t>s</w:t>
      </w:r>
      <w:r w:rsidRPr="00BE51FC">
        <w:rPr>
          <w:rFonts w:eastAsiaTheme="majorEastAsia" w:cs="Arial"/>
          <w:bCs/>
          <w:sz w:val="20"/>
          <w:szCs w:val="20"/>
        </w:rPr>
        <w:t>. The lines in the middle of the boxes denote the median values, and the upper and lower boundaries of the boxes show the 5th and 95th percentiles, respectively. The whiskers extend to both the maximum and minimum values.</w:t>
      </w:r>
    </w:p>
    <w:p w:rsidR="000B6DF7" w:rsidRDefault="000B6DF7" w:rsidP="000B6DF7">
      <w:pPr>
        <w:spacing w:before="240" w:after="240"/>
        <w:ind w:right="-428"/>
        <w:rPr>
          <w:rFonts w:eastAsiaTheme="majorEastAsia" w:cs="Arial"/>
          <w:b/>
          <w:bCs/>
        </w:rPr>
      </w:pPr>
      <w:r w:rsidRPr="003B7516">
        <w:rPr>
          <w:rFonts w:eastAsiaTheme="majorEastAsia" w:cs="Arial"/>
          <w:b/>
          <w:bCs/>
          <w:noProof/>
          <w:lang w:val="en-NZ" w:eastAsia="en-NZ" w:bidi="ar-SA"/>
        </w:rPr>
        <w:lastRenderedPageBreak/>
        <mc:AlternateContent>
          <mc:Choice Requires="wps">
            <w:drawing>
              <wp:anchor distT="0" distB="0" distL="114300" distR="114300" simplePos="0" relativeHeight="251663360" behindDoc="0" locked="0" layoutInCell="1" allowOverlap="1" wp14:anchorId="3C8C9A65" wp14:editId="790BF2F3">
                <wp:simplePos x="0" y="0"/>
                <wp:positionH relativeFrom="column">
                  <wp:posOffset>3405972</wp:posOffset>
                </wp:positionH>
                <wp:positionV relativeFrom="paragraph">
                  <wp:posOffset>3914775</wp:posOffset>
                </wp:positionV>
                <wp:extent cx="438150" cy="1403985"/>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3985"/>
                        </a:xfrm>
                        <a:prstGeom prst="rect">
                          <a:avLst/>
                        </a:prstGeom>
                        <a:solidFill>
                          <a:srgbClr val="FFFFFF"/>
                        </a:solidFill>
                        <a:ln w="9525">
                          <a:noFill/>
                          <a:miter lim="800000"/>
                          <a:headEnd/>
                          <a:tailEnd/>
                        </a:ln>
                      </wps:spPr>
                      <wps:txbx>
                        <w:txbxContent>
                          <w:p w:rsidR="00BA6065" w:rsidRPr="00902CD1" w:rsidRDefault="00BA6065" w:rsidP="000B6DF7">
                            <w:pPr>
                              <w:rPr>
                                <w:sz w:val="40"/>
                                <w:szCs w:val="40"/>
                              </w:rPr>
                            </w:pPr>
                            <w:r w:rsidRPr="00902CD1">
                              <w:rPr>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8.2pt;margin-top:308.25pt;width:3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" stroked="f">
                <v:textbox style="mso-fit-shape-to-text:t">
                  <w:txbxContent>
                    <w:p w:rsidR="00BA6065" w:rsidRPr="00902CD1" w:rsidRDefault="00BA6065" w:rsidP="000B6DF7">
                      <w:pPr>
                        <w:rPr>
                          <w:sz w:val="40"/>
                          <w:szCs w:val="40"/>
                        </w:rPr>
                      </w:pPr>
                      <w:r w:rsidRPr="00902CD1">
                        <w:rPr>
                          <w:sz w:val="40"/>
                          <w:szCs w:val="40"/>
                        </w:rPr>
                        <w:t>*</w:t>
                      </w:r>
                    </w:p>
                  </w:txbxContent>
                </v:textbox>
              </v:shape>
            </w:pict>
          </mc:Fallback>
        </mc:AlternateContent>
      </w:r>
      <w:r>
        <w:rPr>
          <w:noProof/>
          <w:lang w:val="en-NZ" w:eastAsia="en-NZ" w:bidi="ar-SA"/>
        </w:rPr>
        <w:drawing>
          <wp:inline distT="0" distB="0" distL="0" distR="0" wp14:anchorId="5A744172" wp14:editId="38FFA548">
            <wp:extent cx="9096375" cy="5629275"/>
            <wp:effectExtent l="0" t="0" r="28575" b="285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B6DF7" w:rsidRPr="00D72989" w:rsidRDefault="000B6DF7" w:rsidP="00850553">
      <w:pPr>
        <w:spacing w:before="240" w:after="240"/>
        <w:ind w:left="1134" w:right="-428" w:hanging="1134"/>
        <w:rPr>
          <w:rFonts w:eastAsiaTheme="majorEastAsia" w:cs="Arial"/>
          <w:b/>
          <w:bCs/>
        </w:rPr>
        <w:sectPr w:rsidR="000B6DF7" w:rsidRPr="00D72989" w:rsidSect="000B6DF7">
          <w:footerReference w:type="default" r:id="rId21"/>
          <w:footnotePr>
            <w:numRestart w:val="eachSect"/>
          </w:footnotePr>
          <w:pgSz w:w="16838" w:h="11906" w:orient="landscape"/>
          <w:pgMar w:top="709" w:right="1418" w:bottom="709" w:left="1418" w:header="709" w:footer="709" w:gutter="0"/>
          <w:cols w:space="708"/>
          <w:docGrid w:linePitch="360"/>
        </w:sectPr>
      </w:pPr>
      <w:r>
        <w:rPr>
          <w:rFonts w:eastAsiaTheme="majorEastAsia" w:cs="Arial"/>
          <w:b/>
          <w:bCs/>
        </w:rPr>
        <w:t>Figure 3</w:t>
      </w:r>
      <w:r w:rsidR="00850553">
        <w:rPr>
          <w:rFonts w:eastAsiaTheme="majorEastAsia" w:cs="Arial"/>
          <w:b/>
          <w:bCs/>
        </w:rPr>
        <w:tab/>
      </w:r>
      <w:r>
        <w:rPr>
          <w:rFonts w:eastAsiaTheme="majorEastAsia" w:cs="Arial"/>
          <w:bCs/>
          <w:sz w:val="20"/>
          <w:szCs w:val="20"/>
        </w:rPr>
        <w:t>Box-and-Whisker plots showing median</w:t>
      </w:r>
      <w:r w:rsidR="00DF5914">
        <w:rPr>
          <w:rFonts w:eastAsiaTheme="majorEastAsia" w:cs="Arial"/>
          <w:bCs/>
          <w:sz w:val="20"/>
          <w:szCs w:val="20"/>
        </w:rPr>
        <w:t>s</w:t>
      </w:r>
      <w:r>
        <w:rPr>
          <w:rFonts w:eastAsiaTheme="majorEastAsia" w:cs="Arial"/>
          <w:bCs/>
          <w:sz w:val="20"/>
          <w:szCs w:val="20"/>
        </w:rPr>
        <w:t xml:space="preserve"> and</w:t>
      </w:r>
      <w:r w:rsidRPr="00BE51FC">
        <w:rPr>
          <w:rFonts w:eastAsiaTheme="majorEastAsia" w:cs="Arial"/>
          <w:bCs/>
          <w:sz w:val="20"/>
          <w:szCs w:val="20"/>
        </w:rPr>
        <w:t xml:space="preserve"> 5</w:t>
      </w:r>
      <w:r w:rsidRPr="00BE51FC">
        <w:rPr>
          <w:rFonts w:eastAsiaTheme="majorEastAsia" w:cs="Arial"/>
          <w:bCs/>
          <w:sz w:val="20"/>
          <w:szCs w:val="20"/>
          <w:vertAlign w:val="superscript"/>
        </w:rPr>
        <w:t>th</w:t>
      </w:r>
      <w:r w:rsidRPr="00BE51FC">
        <w:rPr>
          <w:rFonts w:eastAsiaTheme="majorEastAsia" w:cs="Arial"/>
          <w:bCs/>
          <w:sz w:val="20"/>
          <w:szCs w:val="20"/>
        </w:rPr>
        <w:t xml:space="preserve"> and 95</w:t>
      </w:r>
      <w:r w:rsidRPr="00BE51FC">
        <w:rPr>
          <w:rFonts w:eastAsiaTheme="majorEastAsia" w:cs="Arial"/>
          <w:bCs/>
          <w:sz w:val="20"/>
          <w:szCs w:val="20"/>
          <w:vertAlign w:val="superscript"/>
        </w:rPr>
        <w:t>th</w:t>
      </w:r>
      <w:r w:rsidRPr="00BE51FC">
        <w:rPr>
          <w:rFonts w:eastAsiaTheme="majorEastAsia" w:cs="Arial"/>
          <w:bCs/>
          <w:sz w:val="20"/>
          <w:szCs w:val="20"/>
        </w:rPr>
        <w:t xml:space="preserve"> percentiles for TFA concentrations in analysed product categories from the 2008</w:t>
      </w:r>
      <w:r w:rsidR="004B69D4">
        <w:rPr>
          <w:rFonts w:eastAsiaTheme="majorEastAsia" w:cs="Arial"/>
          <w:bCs/>
          <w:sz w:val="20"/>
          <w:szCs w:val="20"/>
        </w:rPr>
        <w:t>‒</w:t>
      </w:r>
      <w:r w:rsidRPr="00BE51FC">
        <w:rPr>
          <w:rFonts w:eastAsiaTheme="majorEastAsia" w:cs="Arial"/>
          <w:bCs/>
          <w:sz w:val="20"/>
          <w:szCs w:val="20"/>
        </w:rPr>
        <w:t>09 and 2013 survey</w:t>
      </w:r>
      <w:r>
        <w:rPr>
          <w:rFonts w:eastAsiaTheme="majorEastAsia" w:cs="Arial"/>
          <w:bCs/>
          <w:sz w:val="20"/>
          <w:szCs w:val="20"/>
        </w:rPr>
        <w:t>s</w:t>
      </w:r>
      <w:r w:rsidRPr="00BE51FC">
        <w:rPr>
          <w:rFonts w:eastAsiaTheme="majorEastAsia" w:cs="Arial"/>
          <w:bCs/>
          <w:sz w:val="20"/>
          <w:szCs w:val="20"/>
        </w:rPr>
        <w:t xml:space="preserve">. The lines in the middle of the boxes denote the median values, and the upper and lower boundaries of the boxes show the 5th and 95th percentiles, respectively. The whiskers extend to both the maximum and </w:t>
      </w:r>
      <w:r w:rsidRPr="00611014">
        <w:rPr>
          <w:rFonts w:eastAsiaTheme="majorEastAsia" w:cs="Arial"/>
          <w:bCs/>
          <w:sz w:val="20"/>
          <w:szCs w:val="20"/>
        </w:rPr>
        <w:t>minimum values.* Denotes significantly different from 2008</w:t>
      </w:r>
      <w:r w:rsidR="004B69D4">
        <w:rPr>
          <w:rFonts w:eastAsiaTheme="majorEastAsia" w:cs="Arial"/>
          <w:bCs/>
          <w:sz w:val="20"/>
          <w:szCs w:val="20"/>
        </w:rPr>
        <w:t>‒</w:t>
      </w:r>
      <w:r w:rsidRPr="00611014">
        <w:rPr>
          <w:rFonts w:eastAsiaTheme="majorEastAsia" w:cs="Arial"/>
          <w:bCs/>
          <w:sz w:val="20"/>
          <w:szCs w:val="20"/>
        </w:rPr>
        <w:t>09 value</w:t>
      </w:r>
      <w:r>
        <w:rPr>
          <w:rFonts w:eastAsiaTheme="majorEastAsia" w:cs="Arial"/>
          <w:bCs/>
          <w:sz w:val="20"/>
          <w:szCs w:val="20"/>
        </w:rPr>
        <w:t>.</w:t>
      </w:r>
    </w:p>
    <w:p w:rsidR="000B6DF7" w:rsidRDefault="00DF5914" w:rsidP="008E314D">
      <w:pPr>
        <w:pStyle w:val="Heading2"/>
      </w:pPr>
      <w:bookmarkStart w:id="32" w:name="_Toc387832031"/>
      <w:bookmarkStart w:id="33" w:name="_Toc389652011"/>
      <w:r>
        <w:lastRenderedPageBreak/>
        <w:t>8.2</w:t>
      </w:r>
      <w:r>
        <w:tab/>
      </w:r>
      <w:r w:rsidR="000B6DF7">
        <w:t>Change in total TFA concentrations for selected food products from 2008</w:t>
      </w:r>
      <w:r w:rsidR="004B69D4">
        <w:t>‒</w:t>
      </w:r>
      <w:r w:rsidR="000B6DF7">
        <w:t>09 to 2013</w:t>
      </w:r>
      <w:bookmarkEnd w:id="32"/>
      <w:bookmarkEnd w:id="33"/>
      <w:r w:rsidR="000B6DF7">
        <w:t xml:space="preserve"> </w:t>
      </w:r>
    </w:p>
    <w:p w:rsidR="000B6DF7" w:rsidRDefault="000B6DF7" w:rsidP="000B6DF7">
      <w:pPr>
        <w:rPr>
          <w:lang w:eastAsia="en-AU"/>
        </w:rPr>
      </w:pPr>
      <w:r>
        <w:rPr>
          <w:lang w:eastAsia="en-AU"/>
        </w:rPr>
        <w:t>A total of 51 products of the same brand were tested in the 2008</w:t>
      </w:r>
      <w:r w:rsidR="004B69D4">
        <w:rPr>
          <w:rFonts w:cs="Arial"/>
          <w:lang w:eastAsia="en-AU"/>
        </w:rPr>
        <w:t>‒</w:t>
      </w:r>
      <w:r>
        <w:rPr>
          <w:lang w:eastAsia="en-AU"/>
        </w:rPr>
        <w:t>09 analytical survey and the current survey. The concentrations of TFA</w:t>
      </w:r>
      <w:r w:rsidR="002867E4">
        <w:rPr>
          <w:lang w:eastAsia="en-AU"/>
        </w:rPr>
        <w:t>s</w:t>
      </w:r>
      <w:r>
        <w:rPr>
          <w:lang w:eastAsia="en-AU"/>
        </w:rPr>
        <w:t xml:space="preserve"> in these products and the change in TFA conce</w:t>
      </w:r>
      <w:r w:rsidR="002867E4">
        <w:rPr>
          <w:lang w:eastAsia="en-AU"/>
        </w:rPr>
        <w:t>ntration expressed in g/</w:t>
      </w:r>
      <w:r>
        <w:rPr>
          <w:lang w:eastAsia="en-AU"/>
        </w:rPr>
        <w:t xml:space="preserve">100 g foods, and as a percentage of 2008/09 levels, are shown in Table 3. </w:t>
      </w:r>
      <w:r w:rsidR="00C8206F">
        <w:rPr>
          <w:lang w:eastAsia="en-AU"/>
        </w:rPr>
        <w:t xml:space="preserve">These were generally individual samples, except where indicated. </w:t>
      </w:r>
    </w:p>
    <w:p w:rsidR="000B6DF7" w:rsidRDefault="000B6DF7" w:rsidP="000B6DF7">
      <w:pPr>
        <w:rPr>
          <w:lang w:eastAsia="en-AU"/>
        </w:rPr>
      </w:pPr>
    </w:p>
    <w:p w:rsidR="000B6DF7" w:rsidRDefault="000B6DF7" w:rsidP="000B6DF7">
      <w:pPr>
        <w:rPr>
          <w:lang w:eastAsia="en-AU"/>
        </w:rPr>
      </w:pPr>
      <w:r>
        <w:rPr>
          <w:lang w:eastAsia="en-AU"/>
        </w:rPr>
        <w:t>The key findings can be summarised as:</w:t>
      </w:r>
    </w:p>
    <w:p w:rsidR="000B6DF7" w:rsidRDefault="000B6DF7" w:rsidP="000B6DF7">
      <w:pPr>
        <w:rPr>
          <w:lang w:eastAsia="en-AU"/>
        </w:rPr>
      </w:pPr>
    </w:p>
    <w:p w:rsidR="000B6DF7" w:rsidRDefault="00DF5914" w:rsidP="00DF5914">
      <w:pPr>
        <w:pStyle w:val="FSBullet"/>
        <w:rPr>
          <w:lang w:eastAsia="en-AU"/>
        </w:rPr>
      </w:pPr>
      <w:r>
        <w:rPr>
          <w:lang w:eastAsia="en-AU"/>
        </w:rPr>
        <w:t>TFA concentrations were</w:t>
      </w:r>
      <w:r w:rsidR="000B6DF7">
        <w:rPr>
          <w:lang w:eastAsia="en-AU"/>
        </w:rPr>
        <w:t xml:space="preserve"> at least 0.1 g/100 g lower than 2008</w:t>
      </w:r>
      <w:r w:rsidR="004B69D4">
        <w:rPr>
          <w:lang w:eastAsia="en-AU"/>
        </w:rPr>
        <w:t>‒</w:t>
      </w:r>
      <w:r w:rsidR="000B6DF7">
        <w:rPr>
          <w:lang w:eastAsia="en-AU"/>
        </w:rPr>
        <w:t>09 concentrations in 18 of the 51 products in the current survey.</w:t>
      </w:r>
    </w:p>
    <w:p w:rsidR="000B6DF7" w:rsidRDefault="000B6DF7" w:rsidP="00DF5914">
      <w:pPr>
        <w:pStyle w:val="FSBullet"/>
        <w:numPr>
          <w:ilvl w:val="0"/>
          <w:numId w:val="0"/>
        </w:numPr>
        <w:ind w:left="567"/>
        <w:rPr>
          <w:lang w:eastAsia="en-AU"/>
        </w:rPr>
      </w:pPr>
    </w:p>
    <w:p w:rsidR="000B6DF7" w:rsidRDefault="000B6DF7" w:rsidP="00DF5914">
      <w:pPr>
        <w:pStyle w:val="FSBullet"/>
        <w:rPr>
          <w:lang w:eastAsia="en-AU"/>
        </w:rPr>
      </w:pPr>
      <w:r>
        <w:rPr>
          <w:lang w:eastAsia="en-AU"/>
        </w:rPr>
        <w:t xml:space="preserve">No change was observed for a further </w:t>
      </w:r>
      <w:r w:rsidR="00085A0B">
        <w:rPr>
          <w:lang w:eastAsia="en-AU"/>
        </w:rPr>
        <w:t>14</w:t>
      </w:r>
      <w:r>
        <w:rPr>
          <w:lang w:eastAsia="en-AU"/>
        </w:rPr>
        <w:t xml:space="preserve"> products (defined as a change</w:t>
      </w:r>
      <w:r w:rsidR="002867E4">
        <w:rPr>
          <w:lang w:eastAsia="en-AU"/>
        </w:rPr>
        <w:t xml:space="preserve"> of less than or equal to 0.1 g/</w:t>
      </w:r>
      <w:r>
        <w:rPr>
          <w:lang w:eastAsia="en-AU"/>
        </w:rPr>
        <w:t>100 g food).</w:t>
      </w:r>
    </w:p>
    <w:p w:rsidR="000B6DF7" w:rsidRDefault="000B6DF7" w:rsidP="00DF5914">
      <w:pPr>
        <w:pStyle w:val="FSBullet"/>
        <w:numPr>
          <w:ilvl w:val="0"/>
          <w:numId w:val="0"/>
        </w:numPr>
        <w:ind w:left="567"/>
        <w:rPr>
          <w:lang w:eastAsia="en-AU"/>
        </w:rPr>
      </w:pPr>
    </w:p>
    <w:p w:rsidR="000B6DF7" w:rsidRDefault="000B6DF7" w:rsidP="00DF5914">
      <w:pPr>
        <w:pStyle w:val="FSBullet"/>
        <w:rPr>
          <w:lang w:eastAsia="en-AU"/>
        </w:rPr>
      </w:pPr>
      <w:r>
        <w:rPr>
          <w:lang w:eastAsia="en-AU"/>
        </w:rPr>
        <w:t>The remaining 19 products showed an increase in TFA conce</w:t>
      </w:r>
      <w:r w:rsidR="002867E4">
        <w:rPr>
          <w:lang w:eastAsia="en-AU"/>
        </w:rPr>
        <w:t>ntrations of greater than 0.1 g/</w:t>
      </w:r>
      <w:r>
        <w:rPr>
          <w:lang w:eastAsia="en-AU"/>
        </w:rPr>
        <w:t>100 g from the 2008</w:t>
      </w:r>
      <w:r w:rsidR="004B69D4">
        <w:rPr>
          <w:lang w:eastAsia="en-AU"/>
        </w:rPr>
        <w:t>‒</w:t>
      </w:r>
      <w:r>
        <w:rPr>
          <w:lang w:eastAsia="en-AU"/>
        </w:rPr>
        <w:t xml:space="preserve">09 survey. The magnitude of the increases for all products was small however, amounting to a maximum of 0.4 g </w:t>
      </w:r>
      <w:r w:rsidR="00A10C20">
        <w:rPr>
          <w:lang w:eastAsia="en-AU"/>
        </w:rPr>
        <w:t xml:space="preserve">/100 g food </w:t>
      </w:r>
      <w:r>
        <w:rPr>
          <w:lang w:eastAsia="en-AU"/>
        </w:rPr>
        <w:t>for an edible oil spread product.</w:t>
      </w:r>
    </w:p>
    <w:p w:rsidR="000B6DF7" w:rsidRDefault="000B6DF7" w:rsidP="000B6DF7">
      <w:pPr>
        <w:rPr>
          <w:rFonts w:cs="Arial"/>
          <w:color w:val="000000"/>
          <w:lang w:eastAsia="en-GB"/>
        </w:rPr>
      </w:pPr>
    </w:p>
    <w:p w:rsidR="000B6DF7" w:rsidRDefault="000B6DF7" w:rsidP="000B6DF7">
      <w:pPr>
        <w:rPr>
          <w:rFonts w:cs="Arial"/>
          <w:color w:val="000000"/>
          <w:lang w:eastAsia="en-GB"/>
        </w:rPr>
      </w:pPr>
      <w:r>
        <w:rPr>
          <w:rFonts w:cs="Arial"/>
          <w:color w:val="000000"/>
          <w:lang w:eastAsia="en-GB"/>
        </w:rPr>
        <w:t>The pattern of changes, which shows slight decreases in TFA concentrations in some products and an increase in TFA concentrations in others, is consistent with the previous results for analysed product categories (e</w:t>
      </w:r>
      <w:r w:rsidR="004B69D4">
        <w:rPr>
          <w:rFonts w:cs="Arial"/>
          <w:color w:val="000000"/>
          <w:lang w:eastAsia="en-GB"/>
        </w:rPr>
        <w:t>.</w:t>
      </w:r>
      <w:r>
        <w:rPr>
          <w:rFonts w:cs="Arial"/>
          <w:color w:val="000000"/>
          <w:lang w:eastAsia="en-GB"/>
        </w:rPr>
        <w:t>g</w:t>
      </w:r>
      <w:r w:rsidR="004B69D4">
        <w:rPr>
          <w:rFonts w:cs="Arial"/>
          <w:color w:val="000000"/>
          <w:lang w:eastAsia="en-GB"/>
        </w:rPr>
        <w:t>.</w:t>
      </w:r>
      <w:r>
        <w:rPr>
          <w:rFonts w:cs="Arial"/>
          <w:color w:val="000000"/>
          <w:lang w:eastAsia="en-GB"/>
        </w:rPr>
        <w:t xml:space="preserve"> meat pies, chicken nuggets/products). </w:t>
      </w:r>
    </w:p>
    <w:p w:rsidR="000B6DF7" w:rsidRDefault="000B6DF7" w:rsidP="000B6DF7">
      <w:pPr>
        <w:rPr>
          <w:rFonts w:cs="Arial"/>
          <w:color w:val="000000"/>
          <w:lang w:eastAsia="en-GB"/>
        </w:rPr>
      </w:pPr>
    </w:p>
    <w:p w:rsidR="000B6DF7" w:rsidRDefault="008A7A91" w:rsidP="000B6DF7">
      <w:pPr>
        <w:rPr>
          <w:rFonts w:cs="Arial"/>
          <w:color w:val="000000"/>
          <w:lang w:eastAsia="en-GB"/>
        </w:rPr>
      </w:pPr>
      <w:r>
        <w:rPr>
          <w:rFonts w:cs="Arial"/>
          <w:color w:val="000000"/>
          <w:lang w:eastAsia="en-GB"/>
        </w:rPr>
        <w:t>It should</w:t>
      </w:r>
      <w:r w:rsidR="000B6DF7">
        <w:rPr>
          <w:rFonts w:cs="Arial"/>
          <w:color w:val="000000"/>
          <w:lang w:eastAsia="en-GB"/>
        </w:rPr>
        <w:t xml:space="preserve"> be noted that a number of the products in Table 3 (e</w:t>
      </w:r>
      <w:r w:rsidR="004B69D4">
        <w:rPr>
          <w:rFonts w:cs="Arial"/>
          <w:color w:val="000000"/>
          <w:lang w:eastAsia="en-GB"/>
        </w:rPr>
        <w:t>.</w:t>
      </w:r>
      <w:r w:rsidR="000B6DF7">
        <w:rPr>
          <w:rFonts w:cs="Arial"/>
          <w:color w:val="000000"/>
          <w:lang w:eastAsia="en-GB"/>
        </w:rPr>
        <w:t>g</w:t>
      </w:r>
      <w:r w:rsidR="004B69D4">
        <w:rPr>
          <w:rFonts w:cs="Arial"/>
          <w:color w:val="000000"/>
          <w:lang w:eastAsia="en-GB"/>
        </w:rPr>
        <w:t>.</w:t>
      </w:r>
      <w:r w:rsidR="000B6DF7">
        <w:rPr>
          <w:rFonts w:cs="Arial"/>
          <w:color w:val="000000"/>
          <w:lang w:eastAsia="en-GB"/>
        </w:rPr>
        <w:t xml:space="preserve"> meat pies, sausage rolls, pizza, prepared pastry) </w:t>
      </w:r>
      <w:r w:rsidR="007604B8">
        <w:rPr>
          <w:rFonts w:cs="Arial"/>
          <w:color w:val="000000"/>
          <w:lang w:eastAsia="en-GB"/>
        </w:rPr>
        <w:t xml:space="preserve">may </w:t>
      </w:r>
      <w:r w:rsidR="000B6DF7">
        <w:rPr>
          <w:rFonts w:cs="Arial"/>
          <w:color w:val="000000"/>
          <w:lang w:eastAsia="en-GB"/>
        </w:rPr>
        <w:t>contain significant proportions of ruminant TFA</w:t>
      </w:r>
      <w:r w:rsidR="002867E4">
        <w:rPr>
          <w:rFonts w:cs="Arial"/>
          <w:color w:val="000000"/>
          <w:lang w:eastAsia="en-GB"/>
        </w:rPr>
        <w:t>s</w:t>
      </w:r>
      <w:r w:rsidR="000B6DF7">
        <w:rPr>
          <w:rFonts w:cs="Arial"/>
          <w:color w:val="000000"/>
          <w:lang w:eastAsia="en-GB"/>
        </w:rPr>
        <w:t xml:space="preserve">, which cannot be reduced by improved manufacturing processes. </w:t>
      </w:r>
      <w:r w:rsidR="007604B8">
        <w:rPr>
          <w:rFonts w:cs="Arial"/>
          <w:color w:val="000000"/>
          <w:lang w:eastAsia="en-GB"/>
        </w:rPr>
        <w:t>Equally TFA</w:t>
      </w:r>
      <w:r w:rsidR="00582EE3">
        <w:rPr>
          <w:rFonts w:cs="Arial"/>
          <w:color w:val="000000"/>
          <w:lang w:eastAsia="en-GB"/>
        </w:rPr>
        <w:t>s from manufacturing processes, such as hardened fats</w:t>
      </w:r>
      <w:r w:rsidR="007604B8">
        <w:rPr>
          <w:rFonts w:cs="Arial"/>
          <w:color w:val="000000"/>
          <w:lang w:eastAsia="en-GB"/>
        </w:rPr>
        <w:t xml:space="preserve"> </w:t>
      </w:r>
      <w:r w:rsidR="00582EE3">
        <w:rPr>
          <w:rFonts w:cs="Arial"/>
          <w:color w:val="000000"/>
          <w:lang w:eastAsia="en-GB"/>
        </w:rPr>
        <w:t xml:space="preserve">in pastry making </w:t>
      </w:r>
      <w:r w:rsidR="007604B8">
        <w:rPr>
          <w:rFonts w:cs="Arial"/>
          <w:color w:val="000000"/>
          <w:lang w:eastAsia="en-GB"/>
        </w:rPr>
        <w:t xml:space="preserve">may contribute to the total TFA content of these </w:t>
      </w:r>
      <w:r w:rsidR="00582EE3">
        <w:rPr>
          <w:rFonts w:cs="Arial"/>
          <w:color w:val="000000"/>
          <w:lang w:eastAsia="en-GB"/>
        </w:rPr>
        <w:t xml:space="preserve">products. The source of the TFAs has not been assessed as a part of this study. </w:t>
      </w:r>
    </w:p>
    <w:p w:rsidR="000B6DF7" w:rsidRDefault="000B6DF7" w:rsidP="000B6DF7">
      <w:pPr>
        <w:rPr>
          <w:rFonts w:cs="Arial"/>
          <w:color w:val="000000"/>
          <w:lang w:eastAsia="en-GB"/>
        </w:rPr>
      </w:pPr>
    </w:p>
    <w:p w:rsidR="000B6DF7" w:rsidRDefault="000B6DF7" w:rsidP="000B6DF7">
      <w:pPr>
        <w:rPr>
          <w:rFonts w:cs="Arial"/>
          <w:color w:val="000000"/>
          <w:lang w:eastAsia="en-GB"/>
        </w:rPr>
      </w:pPr>
      <w:r>
        <w:rPr>
          <w:rFonts w:cs="Arial"/>
          <w:color w:val="000000"/>
          <w:lang w:eastAsia="en-GB"/>
        </w:rPr>
        <w:t>Overall, the results show no clear trend to suggest that TFA concentrations have changed markedly from 2008</w:t>
      </w:r>
      <w:r w:rsidR="004B69D4">
        <w:rPr>
          <w:rFonts w:cs="Arial"/>
          <w:color w:val="000000"/>
          <w:lang w:eastAsia="en-GB"/>
        </w:rPr>
        <w:t>‒</w:t>
      </w:r>
      <w:r>
        <w:rPr>
          <w:rFonts w:cs="Arial"/>
          <w:color w:val="000000"/>
          <w:lang w:eastAsia="en-GB"/>
        </w:rPr>
        <w:t xml:space="preserve">09 to 2013 across individual products of the same brand. </w:t>
      </w:r>
    </w:p>
    <w:p w:rsidR="000B6DF7" w:rsidRDefault="000B6DF7" w:rsidP="000B6DF7">
      <w:pPr>
        <w:rPr>
          <w:rFonts w:cs="Arial"/>
          <w:color w:val="000000"/>
          <w:lang w:eastAsia="en-GB"/>
        </w:rPr>
      </w:pPr>
    </w:p>
    <w:p w:rsidR="000B6DF7" w:rsidRDefault="000B6DF7" w:rsidP="00DF5914">
      <w:pPr>
        <w:ind w:left="1134" w:hanging="1134"/>
        <w:rPr>
          <w:i/>
          <w:lang w:eastAsia="en-AU"/>
        </w:rPr>
      </w:pPr>
      <w:r w:rsidRPr="00823160">
        <w:rPr>
          <w:b/>
          <w:lang w:eastAsia="en-AU"/>
        </w:rPr>
        <w:t>Ta</w:t>
      </w:r>
      <w:r>
        <w:rPr>
          <w:b/>
          <w:lang w:eastAsia="en-AU"/>
        </w:rPr>
        <w:t>ble 3</w:t>
      </w:r>
      <w:r w:rsidR="00DF5914">
        <w:rPr>
          <w:b/>
          <w:lang w:eastAsia="en-AU"/>
        </w:rPr>
        <w:tab/>
      </w:r>
      <w:r w:rsidRPr="00DF5914">
        <w:rPr>
          <w:lang w:eastAsia="en-AU"/>
        </w:rPr>
        <w:t>Change in TFA concentrations for 51 products tested in both the 2008</w:t>
      </w:r>
      <w:r w:rsidR="004B69D4">
        <w:rPr>
          <w:rFonts w:cs="Arial"/>
          <w:lang w:eastAsia="en-AU"/>
        </w:rPr>
        <w:t>‒</w:t>
      </w:r>
      <w:r w:rsidRPr="00DF5914">
        <w:rPr>
          <w:lang w:eastAsia="en-AU"/>
        </w:rPr>
        <w:t>09 and 2013 surveys</w:t>
      </w:r>
      <w:r>
        <w:rPr>
          <w:i/>
          <w:lang w:eastAsia="en-AU"/>
        </w:rPr>
        <w:t xml:space="preserve"> </w:t>
      </w:r>
    </w:p>
    <w:p w:rsidR="00582EE3" w:rsidRPr="00874721" w:rsidRDefault="00582EE3" w:rsidP="00DF5914">
      <w:pPr>
        <w:ind w:left="1134" w:hanging="1134"/>
        <w:rPr>
          <w:b/>
          <w:lang w:eastAsia="en-AU"/>
        </w:rPr>
      </w:pPr>
    </w:p>
    <w:tbl>
      <w:tblPr>
        <w:tblStyle w:val="TableGrid"/>
        <w:tblW w:w="9376" w:type="dxa"/>
        <w:tblLayout w:type="fixed"/>
        <w:tblLook w:val="04A0" w:firstRow="1" w:lastRow="0" w:firstColumn="1" w:lastColumn="0" w:noHBand="0" w:noVBand="1"/>
      </w:tblPr>
      <w:tblGrid>
        <w:gridCol w:w="2269"/>
        <w:gridCol w:w="1776"/>
        <w:gridCol w:w="1777"/>
        <w:gridCol w:w="1777"/>
        <w:gridCol w:w="1777"/>
      </w:tblGrid>
      <w:tr w:rsidR="00DF5914" w:rsidRPr="00874721" w:rsidTr="00A02D6E">
        <w:trPr>
          <w:cantSplit/>
          <w:tblHeader/>
        </w:trPr>
        <w:tc>
          <w:tcPr>
            <w:tcW w:w="2269" w:type="dxa"/>
            <w:vMerge w:val="restart"/>
            <w:shd w:val="clear" w:color="auto" w:fill="000000" w:themeFill="text1"/>
            <w:vAlign w:val="center"/>
          </w:tcPr>
          <w:p w:rsidR="00DF5914" w:rsidRPr="008F62AA" w:rsidRDefault="00DF5914" w:rsidP="00A02D6E">
            <w:pPr>
              <w:rPr>
                <w:rFonts w:cs="Arial"/>
                <w:b/>
                <w:sz w:val="18"/>
                <w:szCs w:val="18"/>
                <w:lang w:eastAsia="en-AU"/>
              </w:rPr>
            </w:pPr>
            <w:r w:rsidRPr="008F62AA">
              <w:rPr>
                <w:rFonts w:cs="Arial"/>
                <w:b/>
                <w:sz w:val="18"/>
                <w:szCs w:val="18"/>
                <w:lang w:eastAsia="en-AU"/>
              </w:rPr>
              <w:t>Food ID</w:t>
            </w:r>
          </w:p>
        </w:tc>
        <w:tc>
          <w:tcPr>
            <w:tcW w:w="1776" w:type="dxa"/>
            <w:vMerge w:val="restart"/>
            <w:shd w:val="clear" w:color="auto" w:fill="000000" w:themeFill="text1"/>
            <w:vAlign w:val="center"/>
          </w:tcPr>
          <w:p w:rsidR="00DF5914" w:rsidRPr="008F62AA" w:rsidRDefault="00DF5914" w:rsidP="00A02D6E">
            <w:pPr>
              <w:jc w:val="center"/>
              <w:rPr>
                <w:rFonts w:cs="Arial"/>
                <w:b/>
                <w:sz w:val="18"/>
                <w:szCs w:val="18"/>
                <w:lang w:eastAsia="en-AU"/>
              </w:rPr>
            </w:pPr>
            <w:r w:rsidRPr="008F62AA">
              <w:rPr>
                <w:rFonts w:cs="Arial"/>
                <w:b/>
                <w:sz w:val="18"/>
                <w:szCs w:val="18"/>
                <w:lang w:eastAsia="en-AU"/>
              </w:rPr>
              <w:t>TFA</w:t>
            </w:r>
          </w:p>
          <w:p w:rsidR="00DF5914" w:rsidRPr="008F62AA" w:rsidRDefault="00DF5914" w:rsidP="004B69D4">
            <w:pPr>
              <w:jc w:val="center"/>
              <w:rPr>
                <w:rFonts w:cs="Arial"/>
                <w:b/>
                <w:bCs/>
                <w:sz w:val="18"/>
                <w:szCs w:val="18"/>
                <w:lang w:eastAsia="en-AU"/>
              </w:rPr>
            </w:pPr>
            <w:r w:rsidRPr="008F62AA">
              <w:rPr>
                <w:rFonts w:cs="Arial"/>
                <w:b/>
                <w:sz w:val="18"/>
                <w:szCs w:val="18"/>
                <w:lang w:eastAsia="en-AU"/>
              </w:rPr>
              <w:t>2008</w:t>
            </w:r>
            <w:r w:rsidR="004B69D4">
              <w:rPr>
                <w:rFonts w:cs="Arial"/>
                <w:b/>
                <w:sz w:val="18"/>
                <w:szCs w:val="18"/>
                <w:lang w:eastAsia="en-AU"/>
              </w:rPr>
              <w:t>‒</w:t>
            </w:r>
            <w:r w:rsidRPr="008F62AA">
              <w:rPr>
                <w:rFonts w:cs="Arial"/>
                <w:b/>
                <w:sz w:val="18"/>
                <w:szCs w:val="18"/>
                <w:lang w:eastAsia="en-AU"/>
              </w:rPr>
              <w:t xml:space="preserve">09 </w:t>
            </w:r>
            <w:r w:rsidRPr="008F62AA">
              <w:rPr>
                <w:rFonts w:cs="Arial"/>
                <w:b/>
                <w:sz w:val="18"/>
                <w:szCs w:val="18"/>
                <w:lang w:eastAsia="en-AU"/>
              </w:rPr>
              <w:br/>
            </w:r>
            <w:r w:rsidR="00156836" w:rsidRPr="008F62AA">
              <w:rPr>
                <w:rFonts w:cs="Arial"/>
                <w:b/>
                <w:sz w:val="18"/>
                <w:szCs w:val="18"/>
                <w:lang w:eastAsia="en-AU"/>
              </w:rPr>
              <w:t>(g/</w:t>
            </w:r>
            <w:r w:rsidRPr="008F62AA">
              <w:rPr>
                <w:rFonts w:cs="Arial"/>
                <w:b/>
                <w:sz w:val="18"/>
                <w:szCs w:val="18"/>
                <w:lang w:eastAsia="en-AU"/>
              </w:rPr>
              <w:t>100 g food)</w:t>
            </w:r>
          </w:p>
        </w:tc>
        <w:tc>
          <w:tcPr>
            <w:tcW w:w="1777" w:type="dxa"/>
            <w:vMerge w:val="restart"/>
            <w:shd w:val="clear" w:color="auto" w:fill="000000" w:themeFill="text1"/>
            <w:vAlign w:val="center"/>
          </w:tcPr>
          <w:p w:rsidR="00DF5914" w:rsidRPr="008F62AA" w:rsidRDefault="00DF5914" w:rsidP="00A02D6E">
            <w:pPr>
              <w:jc w:val="center"/>
              <w:rPr>
                <w:rFonts w:cs="Arial"/>
                <w:b/>
                <w:sz w:val="18"/>
                <w:szCs w:val="18"/>
                <w:lang w:eastAsia="en-AU"/>
              </w:rPr>
            </w:pPr>
            <w:r w:rsidRPr="008F62AA">
              <w:rPr>
                <w:rFonts w:cs="Arial"/>
                <w:b/>
                <w:sz w:val="18"/>
                <w:szCs w:val="18"/>
                <w:lang w:eastAsia="en-AU"/>
              </w:rPr>
              <w:t>TFA</w:t>
            </w:r>
          </w:p>
          <w:p w:rsidR="00DF5914" w:rsidRPr="008F62AA" w:rsidRDefault="00DF5914" w:rsidP="00A02D6E">
            <w:pPr>
              <w:jc w:val="center"/>
              <w:rPr>
                <w:rFonts w:cs="Arial"/>
                <w:b/>
                <w:sz w:val="18"/>
                <w:szCs w:val="18"/>
                <w:lang w:eastAsia="en-AU"/>
              </w:rPr>
            </w:pPr>
            <w:r w:rsidRPr="008F62AA">
              <w:rPr>
                <w:rFonts w:cs="Arial"/>
                <w:b/>
                <w:sz w:val="18"/>
                <w:szCs w:val="18"/>
                <w:lang w:eastAsia="en-AU"/>
              </w:rPr>
              <w:t>2013</w:t>
            </w:r>
          </w:p>
          <w:p w:rsidR="00DF5914" w:rsidRPr="008F62AA" w:rsidRDefault="00156836" w:rsidP="00A02D6E">
            <w:pPr>
              <w:jc w:val="center"/>
              <w:rPr>
                <w:rFonts w:cs="Arial"/>
                <w:b/>
                <w:bCs/>
                <w:sz w:val="18"/>
                <w:szCs w:val="18"/>
                <w:lang w:eastAsia="en-AU"/>
              </w:rPr>
            </w:pPr>
            <w:r w:rsidRPr="008F62AA">
              <w:rPr>
                <w:rFonts w:cs="Arial"/>
                <w:b/>
                <w:sz w:val="18"/>
                <w:szCs w:val="18"/>
                <w:lang w:eastAsia="en-AU"/>
              </w:rPr>
              <w:t>(g/</w:t>
            </w:r>
            <w:r w:rsidR="00DF5914" w:rsidRPr="008F62AA">
              <w:rPr>
                <w:rFonts w:cs="Arial"/>
                <w:b/>
                <w:sz w:val="18"/>
                <w:szCs w:val="18"/>
                <w:lang w:eastAsia="en-AU"/>
              </w:rPr>
              <w:t>100 g food)</w:t>
            </w:r>
          </w:p>
        </w:tc>
        <w:tc>
          <w:tcPr>
            <w:tcW w:w="1777" w:type="dxa"/>
            <w:shd w:val="clear" w:color="auto" w:fill="000000" w:themeFill="text1"/>
            <w:vAlign w:val="center"/>
          </w:tcPr>
          <w:p w:rsidR="00DF5914" w:rsidRPr="008F62AA" w:rsidRDefault="00DF5914" w:rsidP="00A02D6E">
            <w:pPr>
              <w:jc w:val="center"/>
              <w:rPr>
                <w:rFonts w:cs="Arial"/>
                <w:b/>
                <w:bCs/>
                <w:color w:val="FFFFFF" w:themeColor="background1"/>
                <w:sz w:val="18"/>
                <w:szCs w:val="18"/>
                <w:lang w:eastAsia="en-AU"/>
              </w:rPr>
            </w:pPr>
            <w:r w:rsidRPr="008F62AA">
              <w:rPr>
                <w:rFonts w:cs="Arial"/>
                <w:b/>
                <w:sz w:val="18"/>
                <w:szCs w:val="18"/>
                <w:lang w:eastAsia="en-AU"/>
              </w:rPr>
              <w:t>Change in TFA concentration</w:t>
            </w:r>
          </w:p>
        </w:tc>
        <w:tc>
          <w:tcPr>
            <w:tcW w:w="1777" w:type="dxa"/>
            <w:shd w:val="clear" w:color="auto" w:fill="000000" w:themeFill="text1"/>
            <w:vAlign w:val="center"/>
          </w:tcPr>
          <w:p w:rsidR="00DF5914" w:rsidRPr="008F62AA" w:rsidRDefault="00DF5914" w:rsidP="00A02D6E">
            <w:pPr>
              <w:jc w:val="center"/>
              <w:rPr>
                <w:rFonts w:cs="Arial"/>
                <w:b/>
                <w:bCs/>
                <w:color w:val="FFFFFF" w:themeColor="background1"/>
                <w:sz w:val="18"/>
                <w:szCs w:val="18"/>
                <w:lang w:eastAsia="en-AU"/>
              </w:rPr>
            </w:pPr>
            <w:r w:rsidRPr="008F62AA">
              <w:rPr>
                <w:rFonts w:cs="Arial"/>
                <w:b/>
                <w:sz w:val="18"/>
                <w:szCs w:val="18"/>
                <w:lang w:eastAsia="en-AU"/>
              </w:rPr>
              <w:t>Total fat difference</w:t>
            </w:r>
            <w:r w:rsidR="0099467A" w:rsidRPr="0099467A">
              <w:rPr>
                <w:rFonts w:cs="Arial"/>
                <w:b/>
                <w:sz w:val="18"/>
                <w:szCs w:val="18"/>
                <w:vertAlign w:val="superscript"/>
                <w:lang w:eastAsia="en-AU"/>
              </w:rPr>
              <w:t>&amp;</w:t>
            </w:r>
          </w:p>
        </w:tc>
      </w:tr>
      <w:tr w:rsidR="00DF5914" w:rsidRPr="00874721" w:rsidTr="00A02D6E">
        <w:trPr>
          <w:cantSplit/>
          <w:trHeight w:val="337"/>
          <w:tblHeader/>
        </w:trPr>
        <w:tc>
          <w:tcPr>
            <w:tcW w:w="2269" w:type="dxa"/>
            <w:vMerge/>
            <w:shd w:val="clear" w:color="auto" w:fill="000000" w:themeFill="text1"/>
            <w:vAlign w:val="center"/>
          </w:tcPr>
          <w:p w:rsidR="00DF5914" w:rsidRPr="008F62AA" w:rsidRDefault="00DF5914" w:rsidP="00A02D6E">
            <w:pPr>
              <w:rPr>
                <w:rFonts w:cs="Arial"/>
                <w:b/>
                <w:sz w:val="18"/>
                <w:szCs w:val="18"/>
                <w:lang w:eastAsia="en-AU"/>
              </w:rPr>
            </w:pPr>
          </w:p>
        </w:tc>
        <w:tc>
          <w:tcPr>
            <w:tcW w:w="1776" w:type="dxa"/>
            <w:vMerge/>
            <w:shd w:val="clear" w:color="auto" w:fill="000000" w:themeFill="text1"/>
            <w:vAlign w:val="center"/>
          </w:tcPr>
          <w:p w:rsidR="00DF5914" w:rsidRPr="008F62AA" w:rsidRDefault="00DF5914" w:rsidP="00A02D6E">
            <w:pPr>
              <w:jc w:val="center"/>
              <w:rPr>
                <w:rFonts w:cs="Arial"/>
                <w:b/>
                <w:sz w:val="18"/>
                <w:szCs w:val="18"/>
                <w:lang w:eastAsia="en-AU"/>
              </w:rPr>
            </w:pPr>
          </w:p>
        </w:tc>
        <w:tc>
          <w:tcPr>
            <w:tcW w:w="1777" w:type="dxa"/>
            <w:vMerge/>
            <w:shd w:val="clear" w:color="auto" w:fill="000000" w:themeFill="text1"/>
            <w:vAlign w:val="center"/>
          </w:tcPr>
          <w:p w:rsidR="00DF5914" w:rsidRPr="008F62AA" w:rsidRDefault="00DF5914" w:rsidP="00A02D6E">
            <w:pPr>
              <w:jc w:val="center"/>
              <w:rPr>
                <w:rFonts w:cs="Arial"/>
                <w:b/>
                <w:sz w:val="18"/>
                <w:szCs w:val="18"/>
                <w:lang w:eastAsia="en-AU"/>
              </w:rPr>
            </w:pPr>
          </w:p>
        </w:tc>
        <w:tc>
          <w:tcPr>
            <w:tcW w:w="1777" w:type="dxa"/>
            <w:shd w:val="clear" w:color="auto" w:fill="000000" w:themeFill="text1"/>
            <w:vAlign w:val="center"/>
          </w:tcPr>
          <w:p w:rsidR="00DF5914" w:rsidRPr="008F62AA" w:rsidRDefault="00156836" w:rsidP="00A02D6E">
            <w:pPr>
              <w:jc w:val="center"/>
              <w:rPr>
                <w:rFonts w:cs="Arial"/>
                <w:b/>
                <w:sz w:val="18"/>
                <w:szCs w:val="18"/>
                <w:lang w:eastAsia="en-AU"/>
              </w:rPr>
            </w:pPr>
            <w:r w:rsidRPr="008F62AA">
              <w:rPr>
                <w:rFonts w:cs="Arial"/>
                <w:b/>
                <w:sz w:val="18"/>
                <w:szCs w:val="18"/>
                <w:lang w:eastAsia="en-AU"/>
              </w:rPr>
              <w:t>(g/</w:t>
            </w:r>
            <w:r w:rsidR="00DF5914" w:rsidRPr="008F62AA">
              <w:rPr>
                <w:rFonts w:cs="Arial"/>
                <w:b/>
                <w:sz w:val="18"/>
                <w:szCs w:val="18"/>
                <w:lang w:eastAsia="en-AU"/>
              </w:rPr>
              <w:t>100 g food)</w:t>
            </w:r>
          </w:p>
        </w:tc>
        <w:tc>
          <w:tcPr>
            <w:tcW w:w="1777" w:type="dxa"/>
            <w:shd w:val="clear" w:color="auto" w:fill="000000" w:themeFill="text1"/>
            <w:vAlign w:val="center"/>
          </w:tcPr>
          <w:p w:rsidR="00DF5914" w:rsidRPr="008F62AA" w:rsidRDefault="00156836" w:rsidP="00A02D6E">
            <w:pPr>
              <w:jc w:val="center"/>
              <w:rPr>
                <w:rFonts w:cs="Arial"/>
                <w:b/>
                <w:sz w:val="18"/>
                <w:szCs w:val="18"/>
                <w:lang w:eastAsia="en-AU"/>
              </w:rPr>
            </w:pPr>
            <w:r w:rsidRPr="008F62AA">
              <w:rPr>
                <w:rFonts w:cs="Arial"/>
                <w:b/>
                <w:sz w:val="18"/>
                <w:szCs w:val="18"/>
                <w:lang w:eastAsia="en-AU"/>
              </w:rPr>
              <w:t>(g/100 g</w:t>
            </w:r>
            <w:r w:rsidR="00DF5914" w:rsidRPr="008F62AA">
              <w:rPr>
                <w:rFonts w:cs="Arial"/>
                <w:b/>
                <w:sz w:val="18"/>
                <w:szCs w:val="18"/>
                <w:lang w:eastAsia="en-AU"/>
              </w:rPr>
              <w:t xml:space="preserve"> food)</w:t>
            </w:r>
          </w:p>
        </w:tc>
      </w:tr>
      <w:tr w:rsidR="00DF5914" w:rsidRPr="00874721" w:rsidTr="00A02D6E">
        <w:tc>
          <w:tcPr>
            <w:tcW w:w="2269" w:type="dxa"/>
            <w:vAlign w:val="center"/>
          </w:tcPr>
          <w:p w:rsidR="00DF5914" w:rsidRPr="008F62AA" w:rsidRDefault="00DF5914" w:rsidP="00A02D6E">
            <w:pPr>
              <w:rPr>
                <w:rFonts w:cs="Arial"/>
                <w:color w:val="000000"/>
                <w:sz w:val="18"/>
                <w:szCs w:val="18"/>
              </w:rPr>
            </w:pPr>
            <w:r w:rsidRPr="008F62AA">
              <w:rPr>
                <w:rFonts w:cs="Arial"/>
                <w:color w:val="000000"/>
                <w:sz w:val="18"/>
                <w:szCs w:val="18"/>
              </w:rPr>
              <w:t>Chicken Nuggets/Potato Products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0.19</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0.14</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0.50</w:t>
            </w:r>
          </w:p>
        </w:tc>
      </w:tr>
      <w:tr w:rsidR="00DF5914" w:rsidRPr="00CE5CA3" w:rsidTr="00A02D6E">
        <w:tc>
          <w:tcPr>
            <w:tcW w:w="2269" w:type="dxa"/>
            <w:vAlign w:val="center"/>
          </w:tcPr>
          <w:p w:rsidR="00DF5914" w:rsidRPr="008F62AA" w:rsidRDefault="00DF5914" w:rsidP="00A02D6E">
            <w:pPr>
              <w:rPr>
                <w:rFonts w:cs="Arial"/>
                <w:color w:val="000000"/>
                <w:sz w:val="18"/>
                <w:szCs w:val="18"/>
              </w:rPr>
            </w:pPr>
            <w:r w:rsidRPr="008F62AA">
              <w:rPr>
                <w:rFonts w:cs="Arial"/>
                <w:color w:val="000000"/>
                <w:sz w:val="18"/>
                <w:szCs w:val="18"/>
              </w:rPr>
              <w:t>Chicken Nuggets/Potato Products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0.07*</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0.27*</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0.19</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4.84</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Hot Chips/Potato Products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0.21</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0.11</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-0.25</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Hot Chips/Potato Products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0.06*</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0.14</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-2.44</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Hot Chips/Potato Products c)</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&lt;LOR</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-3.10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Pizza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0.08</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Pizza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-1.56</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Spring Rolls</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&lt;LOR</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0.07</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0.07</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2.99</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Popcorn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0.09</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0.11</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-1.64</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Popcorn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&lt;LOR</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&lt;LOR</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-1.86</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Potato Crisps &amp; Corn Chips</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-5.57</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lastRenderedPageBreak/>
              <w:t>Edible Oil Spreads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1.00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0.57</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-0.43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1.50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Edible Oil Spreads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0.50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-5.00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Edible Oil Spreads c)</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0.45*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0.80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-9.75</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Edible Oil Spreads d)</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3.16</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1.88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-1.28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-9.35</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Edible Oil Spreads e)</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0.67*</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0.70*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1.29</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Edible Oil Spreads f)</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0.60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0.40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-1.10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Edible Oil Spreads g)</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0.40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-4.10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Edible Oil Spreads h)</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0.31*</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0.60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0.29</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-0.58</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Vegetable Oil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1.90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1.40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-0.50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Vegetable Oil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0.48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Meat Pie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0.42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1.30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Meat Pie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0.81</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0.42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-0.39</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-1.59</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Sausage Rolls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0.70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0.59</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-0.11</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-0.80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Sausage Rolls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1.50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0.72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-0.78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2.20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Choc Chip Cookie</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-0.50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Chocolate Coated &amp; Chocolate Filled Biscuits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0.34</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0.04</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2.51</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Chocolate Coated &amp; Chocolate Filled Biscuits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-1.16</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Chocolate Coated &amp; Chocolate Filled Biscuits c)</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&lt;LOR</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0.14</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0.14</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1.84</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Custard Baked Goods</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0.17</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-0.55</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Cream Biscuits</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4.54</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Donut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0.70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0.11</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-0.59</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7.87</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Donut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0.67*</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-0.34</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-3.70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Pikelet/Pancakes</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&lt;LOR</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0.34</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Prepared Pastry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1.04</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0.96</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0.37</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Prepared Pastry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0.90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0.53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-0.37</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0.17</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Prepared Pastry c)</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3.30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Prepared Pastry d)</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2.80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1.32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-1.48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-10.06</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Prepared Pastry e)</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1.40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0.72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-0.68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1.30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Prepared Pastry f)</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2.20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1.18*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-1.02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-3.32</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Prepared Pastry g)</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1.60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1.48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0.14</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Prepared Pastry h)</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1.31</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0.43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-0.88</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-2.30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Savoury Biscuits- Standard</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-3.70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Sweet Muffins &amp; Banana Breads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0.60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Sweet Muffins &amp; Banana Breads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0.05*</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0.27</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1.45</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Dry Mix Pasta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0.11</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-0.19</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-1.55</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Dry Mix Pasta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0.50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0.21</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-0.29</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-6.10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Nut Based Spreads a)</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&lt;LOR</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0.90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Nut Based Spreads b)</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0.13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0.03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-5.67</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Nut Based Spreads c)</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&lt;LOR</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0.20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-6.00</w:t>
            </w:r>
          </w:p>
        </w:tc>
      </w:tr>
      <w:tr w:rsidR="00DF5914" w:rsidRPr="00CE5CA3" w:rsidTr="00A02D6E">
        <w:tc>
          <w:tcPr>
            <w:tcW w:w="2269" w:type="dxa"/>
            <w:vAlign w:val="center"/>
          </w:tcPr>
          <w:p w:rsidR="00DF5914" w:rsidRPr="008F62AA" w:rsidRDefault="00DF5914" w:rsidP="00A02D6E">
            <w:pPr>
              <w:rPr>
                <w:rFonts w:cs="Arial"/>
                <w:sz w:val="18"/>
                <w:szCs w:val="18"/>
                <w:lang w:eastAsia="en-AU"/>
              </w:rPr>
            </w:pPr>
            <w:r w:rsidRPr="008F62AA">
              <w:rPr>
                <w:rFonts w:cs="Arial"/>
                <w:sz w:val="18"/>
                <w:szCs w:val="18"/>
                <w:lang w:eastAsia="en-AU"/>
              </w:rPr>
              <w:t>Nut Based Spreads d)</w:t>
            </w:r>
          </w:p>
        </w:tc>
        <w:tc>
          <w:tcPr>
            <w:tcW w:w="1776"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&lt;LOR</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0.30</w:t>
            </w:r>
          </w:p>
        </w:tc>
        <w:tc>
          <w:tcPr>
            <w:tcW w:w="1777" w:type="dxa"/>
            <w:vAlign w:val="center"/>
          </w:tcPr>
          <w:p w:rsidR="00DF5914" w:rsidRPr="008F62AA" w:rsidRDefault="00DF5914" w:rsidP="00A02D6E">
            <w:pPr>
              <w:jc w:val="center"/>
              <w:rPr>
                <w:rFonts w:cs="Arial"/>
                <w:color w:val="000000"/>
                <w:sz w:val="18"/>
                <w:szCs w:val="18"/>
              </w:rPr>
            </w:pPr>
            <w:r w:rsidRPr="008F62AA">
              <w:rPr>
                <w:rFonts w:cs="Arial"/>
                <w:color w:val="000000"/>
                <w:sz w:val="18"/>
                <w:szCs w:val="18"/>
              </w:rPr>
              <w:t>-4.30</w:t>
            </w:r>
          </w:p>
        </w:tc>
      </w:tr>
    </w:tbl>
    <w:p w:rsidR="000B6DF7" w:rsidRPr="00BE51FC" w:rsidRDefault="000B6DF7" w:rsidP="000B6DF7">
      <w:pPr>
        <w:rPr>
          <w:rFonts w:cs="Arial"/>
          <w:color w:val="000000"/>
          <w:sz w:val="20"/>
          <w:szCs w:val="20"/>
          <w:lang w:eastAsia="en-GB"/>
        </w:rPr>
      </w:pPr>
      <w:r>
        <w:rPr>
          <w:rFonts w:cs="Arial"/>
          <w:color w:val="000000"/>
          <w:sz w:val="20"/>
          <w:szCs w:val="20"/>
          <w:lang w:eastAsia="en-GB"/>
        </w:rPr>
        <w:t>*</w:t>
      </w:r>
      <w:r w:rsidRPr="00C933AA">
        <w:rPr>
          <w:rFonts w:cs="Arial"/>
          <w:color w:val="000000"/>
          <w:sz w:val="20"/>
          <w:szCs w:val="20"/>
          <w:lang w:eastAsia="en-GB"/>
        </w:rPr>
        <w:t xml:space="preserve"> </w:t>
      </w:r>
      <w:r>
        <w:rPr>
          <w:rFonts w:cs="Arial"/>
          <w:color w:val="000000"/>
          <w:sz w:val="20"/>
          <w:szCs w:val="20"/>
          <w:lang w:eastAsia="en-GB"/>
        </w:rPr>
        <w:t xml:space="preserve">More </w:t>
      </w:r>
      <w:r w:rsidRPr="00C933AA">
        <w:rPr>
          <w:rFonts w:cs="Arial"/>
          <w:color w:val="000000"/>
          <w:sz w:val="20"/>
          <w:szCs w:val="20"/>
          <w:lang w:eastAsia="en-GB"/>
        </w:rPr>
        <w:t>than one product of the same brand sampled and analysed</w:t>
      </w:r>
      <w:r>
        <w:rPr>
          <w:rFonts w:cs="Arial"/>
          <w:color w:val="000000"/>
          <w:sz w:val="20"/>
          <w:szCs w:val="20"/>
          <w:lang w:eastAsia="en-GB"/>
        </w:rPr>
        <w:t>. The mean value is shown.</w:t>
      </w:r>
    </w:p>
    <w:p w:rsidR="000B6DF7" w:rsidRDefault="000B6DF7" w:rsidP="000B6DF7">
      <w:pPr>
        <w:ind w:left="-426" w:firstLine="426"/>
        <w:rPr>
          <w:rFonts w:cs="Arial"/>
          <w:color w:val="000000"/>
          <w:sz w:val="20"/>
          <w:szCs w:val="20"/>
          <w:lang w:eastAsia="en-GB"/>
        </w:rPr>
      </w:pPr>
      <w:r w:rsidRPr="00BE51FC">
        <w:rPr>
          <w:rFonts w:cs="Arial"/>
          <w:color w:val="000000"/>
          <w:sz w:val="20"/>
          <w:szCs w:val="20"/>
          <w:vertAlign w:val="superscript"/>
          <w:lang w:eastAsia="en-GB"/>
        </w:rPr>
        <w:t>&amp;</w:t>
      </w:r>
      <w:r w:rsidRPr="00BE51FC">
        <w:rPr>
          <w:rFonts w:cs="Arial"/>
          <w:color w:val="000000"/>
          <w:sz w:val="20"/>
          <w:szCs w:val="20"/>
          <w:lang w:eastAsia="en-GB"/>
        </w:rPr>
        <w:t xml:space="preserve"> Total difference in fat is shown because this change will impact on the TFA concentration in the food</w:t>
      </w:r>
      <w:r>
        <w:rPr>
          <w:rFonts w:cs="Arial"/>
          <w:color w:val="000000"/>
          <w:sz w:val="20"/>
          <w:szCs w:val="20"/>
          <w:lang w:eastAsia="en-GB"/>
        </w:rPr>
        <w:t>.</w:t>
      </w:r>
    </w:p>
    <w:p w:rsidR="000B6DF7" w:rsidRDefault="000B6DF7" w:rsidP="000B6DF7">
      <w:pPr>
        <w:ind w:left="-426" w:firstLine="426"/>
        <w:rPr>
          <w:rFonts w:cs="Arial"/>
          <w:color w:val="000000"/>
          <w:sz w:val="20"/>
          <w:szCs w:val="20"/>
          <w:lang w:eastAsia="en-GB"/>
        </w:rPr>
      </w:pPr>
      <w:r>
        <w:rPr>
          <w:rFonts w:cs="Arial"/>
          <w:color w:val="000000"/>
          <w:sz w:val="20"/>
          <w:szCs w:val="20"/>
          <w:lang w:eastAsia="en-GB"/>
        </w:rPr>
        <w:t>LOR has been assumed to be 0 for the purpose of this comparison.</w:t>
      </w:r>
    </w:p>
    <w:p w:rsidR="00A10C20" w:rsidRPr="00BE51FC" w:rsidRDefault="007604B8" w:rsidP="007604B8">
      <w:pPr>
        <w:rPr>
          <w:rFonts w:cs="Arial"/>
          <w:color w:val="000000"/>
          <w:sz w:val="20"/>
          <w:szCs w:val="20"/>
          <w:lang w:eastAsia="en-GB"/>
        </w:rPr>
      </w:pPr>
      <w:r>
        <w:rPr>
          <w:rFonts w:cs="Arial"/>
          <w:color w:val="000000"/>
          <w:sz w:val="20"/>
          <w:szCs w:val="20"/>
          <w:lang w:eastAsia="en-GB"/>
        </w:rPr>
        <w:t xml:space="preserve">a)-h) represents where more than one product in each product category were sampled in the 2008-09 and 2013 surveys. </w:t>
      </w:r>
    </w:p>
    <w:p w:rsidR="00DF5914" w:rsidRDefault="00DF5914">
      <w:pPr>
        <w:widowControl/>
        <w:rPr>
          <w:b/>
          <w:bCs/>
          <w:sz w:val="36"/>
          <w:szCs w:val="28"/>
          <w:lang w:eastAsia="en-GB" w:bidi="ar-SA"/>
        </w:rPr>
      </w:pPr>
      <w:bookmarkStart w:id="34" w:name="_Toc387832032"/>
      <w:r>
        <w:rPr>
          <w:lang w:eastAsia="en-GB"/>
        </w:rPr>
        <w:br w:type="page"/>
      </w:r>
    </w:p>
    <w:p w:rsidR="000B6DF7" w:rsidRPr="00D72989" w:rsidRDefault="00DF5914" w:rsidP="008E314D">
      <w:pPr>
        <w:pStyle w:val="Heading2"/>
        <w:rPr>
          <w:lang w:eastAsia="en-GB"/>
        </w:rPr>
      </w:pPr>
      <w:bookmarkStart w:id="35" w:name="_Toc389652012"/>
      <w:r>
        <w:rPr>
          <w:lang w:eastAsia="en-GB"/>
        </w:rPr>
        <w:lastRenderedPageBreak/>
        <w:t>8.3</w:t>
      </w:r>
      <w:r>
        <w:rPr>
          <w:lang w:eastAsia="en-GB"/>
        </w:rPr>
        <w:tab/>
      </w:r>
      <w:r w:rsidR="000B6DF7">
        <w:rPr>
          <w:lang w:eastAsia="en-GB"/>
        </w:rPr>
        <w:t>Comparison of TFA concentrations in selected product categories with pre-2008</w:t>
      </w:r>
      <w:r w:rsidR="004B69D4">
        <w:rPr>
          <w:lang w:eastAsia="en-GB"/>
        </w:rPr>
        <w:t>‒</w:t>
      </w:r>
      <w:r w:rsidR="000B6DF7">
        <w:rPr>
          <w:lang w:eastAsia="en-GB"/>
        </w:rPr>
        <w:t>09 levels</w:t>
      </w:r>
      <w:bookmarkEnd w:id="34"/>
      <w:bookmarkEnd w:id="35"/>
    </w:p>
    <w:p w:rsidR="000B6DF7" w:rsidRDefault="000B6DF7" w:rsidP="000B6DF7">
      <w:pPr>
        <w:rPr>
          <w:rFonts w:cs="Arial"/>
          <w:color w:val="000000"/>
          <w:lang w:eastAsia="en-GB"/>
        </w:rPr>
      </w:pPr>
      <w:r w:rsidRPr="005E2AAD">
        <w:rPr>
          <w:rFonts w:cs="Arial"/>
          <w:color w:val="000000"/>
          <w:lang w:eastAsia="en-GB"/>
        </w:rPr>
        <w:t xml:space="preserve">FSANZ also reviewed the concentrations </w:t>
      </w:r>
      <w:r w:rsidR="004B69D4">
        <w:rPr>
          <w:rFonts w:cs="Arial"/>
          <w:color w:val="000000"/>
          <w:lang w:eastAsia="en-GB"/>
        </w:rPr>
        <w:t xml:space="preserve">of </w:t>
      </w:r>
      <w:r w:rsidRPr="00DC08C2">
        <w:rPr>
          <w:rFonts w:cs="Arial"/>
          <w:color w:val="000000"/>
          <w:lang w:eastAsia="en-GB"/>
        </w:rPr>
        <w:t>TFA</w:t>
      </w:r>
      <w:r w:rsidR="002867E4" w:rsidRPr="00DC08C2">
        <w:rPr>
          <w:rFonts w:cs="Arial"/>
          <w:color w:val="000000"/>
          <w:lang w:eastAsia="en-GB"/>
        </w:rPr>
        <w:t>s</w:t>
      </w:r>
      <w:r w:rsidRPr="005E2AAD">
        <w:rPr>
          <w:rFonts w:cs="Arial"/>
          <w:color w:val="000000"/>
          <w:lang w:eastAsia="en-GB"/>
        </w:rPr>
        <w:t xml:space="preserve"> in the New Zealand and Australian food supply in 2007. </w:t>
      </w:r>
      <w:r>
        <w:rPr>
          <w:rFonts w:cs="Arial"/>
          <w:color w:val="000000"/>
          <w:lang w:eastAsia="en-GB"/>
        </w:rPr>
        <w:t>A</w:t>
      </w:r>
      <w:r w:rsidRPr="005E2AAD">
        <w:rPr>
          <w:rFonts w:cs="Arial"/>
          <w:color w:val="000000"/>
          <w:lang w:eastAsia="en-GB"/>
        </w:rPr>
        <w:t xml:space="preserve">nalytical data were derived from laboratory analyses carried out by the </w:t>
      </w:r>
      <w:r w:rsidR="00B7048C">
        <w:rPr>
          <w:rFonts w:cs="Arial"/>
          <w:color w:val="000000"/>
          <w:lang w:eastAsia="en-GB"/>
        </w:rPr>
        <w:t>NSW</w:t>
      </w:r>
      <w:r w:rsidRPr="005E2AAD">
        <w:rPr>
          <w:rFonts w:cs="Arial"/>
          <w:color w:val="000000"/>
          <w:lang w:eastAsia="en-GB"/>
        </w:rPr>
        <w:t xml:space="preserve"> Food Authority in 2005, </w:t>
      </w:r>
      <w:r w:rsidR="00B7048C">
        <w:rPr>
          <w:rFonts w:cs="Arial"/>
          <w:color w:val="000000"/>
          <w:lang w:eastAsia="en-GB"/>
        </w:rPr>
        <w:t>SA</w:t>
      </w:r>
      <w:r w:rsidRPr="005E2AAD">
        <w:rPr>
          <w:rFonts w:cs="Arial"/>
          <w:color w:val="000000"/>
          <w:lang w:eastAsia="en-GB"/>
        </w:rPr>
        <w:t xml:space="preserve"> Health in 2006 and by FSANZ between 2001 and 2006. For New Zealand</w:t>
      </w:r>
      <w:r>
        <w:rPr>
          <w:rFonts w:cs="Arial"/>
          <w:color w:val="000000"/>
          <w:lang w:eastAsia="en-GB"/>
        </w:rPr>
        <w:t>,</w:t>
      </w:r>
      <w:r w:rsidRPr="005E2AAD">
        <w:rPr>
          <w:rFonts w:cs="Arial"/>
          <w:color w:val="000000"/>
          <w:lang w:eastAsia="en-GB"/>
        </w:rPr>
        <w:t xml:space="preserve"> data were </w:t>
      </w:r>
      <w:r>
        <w:rPr>
          <w:rFonts w:cs="Arial"/>
          <w:color w:val="000000"/>
          <w:lang w:eastAsia="en-GB"/>
        </w:rPr>
        <w:t xml:space="preserve">used </w:t>
      </w:r>
      <w:r w:rsidRPr="005E2AAD">
        <w:rPr>
          <w:rFonts w:cs="Arial"/>
          <w:color w:val="000000"/>
          <w:lang w:eastAsia="en-GB"/>
        </w:rPr>
        <w:t>from labo</w:t>
      </w:r>
      <w:r w:rsidR="00DD48AB">
        <w:rPr>
          <w:rFonts w:cs="Arial"/>
          <w:color w:val="000000"/>
          <w:lang w:eastAsia="en-GB"/>
        </w:rPr>
        <w:t xml:space="preserve">ratory analyses conducted by </w:t>
      </w:r>
      <w:r w:rsidR="00620AB0">
        <w:rPr>
          <w:rFonts w:cs="Arial"/>
          <w:color w:val="000000"/>
          <w:lang w:eastAsia="en-GB"/>
        </w:rPr>
        <w:t>ESR</w:t>
      </w:r>
      <w:r w:rsidRPr="005E2AAD">
        <w:rPr>
          <w:rFonts w:cs="Arial"/>
          <w:color w:val="000000"/>
          <w:lang w:eastAsia="en-GB"/>
        </w:rPr>
        <w:t xml:space="preserve"> in 2006 and Crop and Food Research from 2002. </w:t>
      </w:r>
      <w:r>
        <w:rPr>
          <w:rFonts w:cs="Arial"/>
          <w:color w:val="000000"/>
          <w:lang w:eastAsia="en-GB"/>
        </w:rPr>
        <w:t xml:space="preserve">Key findings of the 2007 report were described </w:t>
      </w:r>
      <w:r w:rsidR="00C8206F">
        <w:rPr>
          <w:rFonts w:cs="Arial"/>
          <w:color w:val="000000"/>
          <w:lang w:eastAsia="en-GB"/>
        </w:rPr>
        <w:t>in Section 5.1</w:t>
      </w:r>
      <w:r>
        <w:rPr>
          <w:rFonts w:cs="Arial"/>
          <w:color w:val="000000"/>
          <w:lang w:eastAsia="en-GB"/>
        </w:rPr>
        <w:t xml:space="preserve">. </w:t>
      </w:r>
    </w:p>
    <w:p w:rsidR="000B6DF7" w:rsidRDefault="000B6DF7" w:rsidP="000B6DF7">
      <w:pPr>
        <w:rPr>
          <w:rFonts w:cs="Arial"/>
          <w:color w:val="000000"/>
          <w:lang w:eastAsia="en-GB"/>
        </w:rPr>
      </w:pPr>
    </w:p>
    <w:p w:rsidR="000B6DF7" w:rsidRPr="003070ED" w:rsidRDefault="000B6DF7" w:rsidP="000B6DF7">
      <w:pPr>
        <w:rPr>
          <w:rFonts w:cs="Arial"/>
          <w:color w:val="000000"/>
          <w:lang w:eastAsia="en-GB"/>
        </w:rPr>
      </w:pPr>
      <w:r>
        <w:rPr>
          <w:rFonts w:cs="Arial"/>
          <w:color w:val="000000"/>
          <w:lang w:eastAsia="en-GB"/>
        </w:rPr>
        <w:t xml:space="preserve">To </w:t>
      </w:r>
      <w:r w:rsidR="004B69D4">
        <w:rPr>
          <w:rFonts w:cs="Arial"/>
          <w:color w:val="000000"/>
          <w:lang w:eastAsia="en-GB"/>
        </w:rPr>
        <w:t>help compare</w:t>
      </w:r>
      <w:r>
        <w:rPr>
          <w:rFonts w:cs="Arial"/>
          <w:color w:val="000000"/>
          <w:lang w:eastAsia="en-GB"/>
        </w:rPr>
        <w:t xml:space="preserve"> the 2013 survey with pre-2008</w:t>
      </w:r>
      <w:r w:rsidR="004B69D4">
        <w:rPr>
          <w:rFonts w:cs="Arial"/>
          <w:color w:val="000000"/>
          <w:lang w:eastAsia="en-GB"/>
        </w:rPr>
        <w:t>‒</w:t>
      </w:r>
      <w:r>
        <w:rPr>
          <w:rFonts w:cs="Arial"/>
          <w:color w:val="000000"/>
          <w:lang w:eastAsia="en-GB"/>
        </w:rPr>
        <w:t>09 levels, t</w:t>
      </w:r>
      <w:r w:rsidRPr="003070ED">
        <w:rPr>
          <w:rFonts w:cs="Arial"/>
          <w:color w:val="000000"/>
          <w:lang w:eastAsia="en-GB"/>
        </w:rPr>
        <w:t>he</w:t>
      </w:r>
      <w:r>
        <w:rPr>
          <w:rFonts w:cs="Arial"/>
          <w:color w:val="000000"/>
          <w:lang w:eastAsia="en-GB"/>
        </w:rPr>
        <w:t xml:space="preserve"> median concentrations</w:t>
      </w:r>
      <w:r w:rsidRPr="003070ED">
        <w:rPr>
          <w:rFonts w:cs="Arial"/>
          <w:color w:val="000000"/>
          <w:lang w:eastAsia="en-GB"/>
        </w:rPr>
        <w:t xml:space="preserve"> from </w:t>
      </w:r>
      <w:r>
        <w:rPr>
          <w:rFonts w:cs="Arial"/>
          <w:color w:val="000000"/>
          <w:lang w:eastAsia="en-GB"/>
        </w:rPr>
        <w:t>the current survey, the 2008</w:t>
      </w:r>
      <w:r w:rsidR="004B69D4">
        <w:rPr>
          <w:rFonts w:cs="Arial"/>
          <w:color w:val="000000"/>
          <w:lang w:eastAsia="en-GB"/>
        </w:rPr>
        <w:t>‒</w:t>
      </w:r>
      <w:r>
        <w:rPr>
          <w:rFonts w:cs="Arial"/>
          <w:color w:val="000000"/>
          <w:lang w:eastAsia="en-GB"/>
        </w:rPr>
        <w:t>0</w:t>
      </w:r>
      <w:r w:rsidR="00627232">
        <w:rPr>
          <w:rFonts w:cs="Arial"/>
          <w:color w:val="000000"/>
          <w:lang w:eastAsia="en-GB"/>
        </w:rPr>
        <w:t>9 survey, and the 2005</w:t>
      </w:r>
      <w:r w:rsidR="00627232">
        <w:t>–</w:t>
      </w:r>
      <w:r w:rsidRPr="003070ED">
        <w:rPr>
          <w:rFonts w:cs="Arial"/>
          <w:color w:val="000000"/>
          <w:lang w:eastAsia="en-GB"/>
        </w:rPr>
        <w:t xml:space="preserve">2007 survey are plotted together for the nineteen </w:t>
      </w:r>
      <w:r>
        <w:rPr>
          <w:rFonts w:cs="Arial"/>
          <w:color w:val="000000"/>
          <w:lang w:eastAsia="en-GB"/>
        </w:rPr>
        <w:t xml:space="preserve">comparable product categories </w:t>
      </w:r>
      <w:r w:rsidRPr="005E2AAD">
        <w:rPr>
          <w:rFonts w:cs="Arial"/>
          <w:color w:val="000000"/>
          <w:lang w:eastAsia="en-GB"/>
        </w:rPr>
        <w:t>in Figure 4. A</w:t>
      </w:r>
      <w:r>
        <w:rPr>
          <w:rFonts w:cs="Arial"/>
          <w:color w:val="000000"/>
          <w:lang w:eastAsia="en-GB"/>
        </w:rPr>
        <w:t xml:space="preserve"> qualitative comparison of the median TFA concentrations from 2013 survey</w:t>
      </w:r>
      <w:r w:rsidRPr="003070ED">
        <w:rPr>
          <w:rFonts w:cs="Arial"/>
          <w:color w:val="000000"/>
          <w:lang w:eastAsia="en-GB"/>
        </w:rPr>
        <w:t xml:space="preserve"> data to </w:t>
      </w:r>
      <w:r w:rsidR="00627232">
        <w:rPr>
          <w:rFonts w:cs="Arial"/>
          <w:color w:val="000000"/>
          <w:lang w:eastAsia="en-GB"/>
        </w:rPr>
        <w:t>the 2005</w:t>
      </w:r>
      <w:r w:rsidR="00627232">
        <w:t>–</w:t>
      </w:r>
      <w:r>
        <w:rPr>
          <w:rFonts w:cs="Arial"/>
          <w:color w:val="000000"/>
          <w:lang w:eastAsia="en-GB"/>
        </w:rPr>
        <w:t xml:space="preserve">2007 data indicates </w:t>
      </w:r>
      <w:r w:rsidRPr="003070ED">
        <w:rPr>
          <w:rFonts w:cs="Arial"/>
          <w:color w:val="000000"/>
          <w:lang w:eastAsia="en-GB"/>
        </w:rPr>
        <w:t xml:space="preserve">that: </w:t>
      </w:r>
    </w:p>
    <w:p w:rsidR="000B6DF7" w:rsidRDefault="000B6DF7" w:rsidP="000B6DF7">
      <w:pPr>
        <w:rPr>
          <w:rFonts w:cs="Arial"/>
          <w:color w:val="000000"/>
          <w:lang w:eastAsia="en-GB"/>
        </w:rPr>
      </w:pPr>
    </w:p>
    <w:p w:rsidR="000B6DF7" w:rsidRDefault="000B6DF7" w:rsidP="00DF5914">
      <w:pPr>
        <w:pStyle w:val="FSBullet"/>
        <w:rPr>
          <w:lang w:eastAsia="en-GB"/>
        </w:rPr>
      </w:pPr>
      <w:r>
        <w:rPr>
          <w:lang w:eastAsia="en-GB"/>
        </w:rPr>
        <w:t xml:space="preserve">Median </w:t>
      </w:r>
      <w:r w:rsidRPr="003070ED">
        <w:rPr>
          <w:lang w:eastAsia="en-GB"/>
        </w:rPr>
        <w:t xml:space="preserve">TFA concentrations are lower in </w:t>
      </w:r>
      <w:r>
        <w:rPr>
          <w:lang w:eastAsia="en-GB"/>
        </w:rPr>
        <w:t xml:space="preserve">eight </w:t>
      </w:r>
      <w:r w:rsidRPr="003070ED">
        <w:rPr>
          <w:lang w:eastAsia="en-GB"/>
        </w:rPr>
        <w:t xml:space="preserve">of the 19 food products (chicken nuggets/products, hot chips/potato products, pizza, potato crisps </w:t>
      </w:r>
      <w:r>
        <w:rPr>
          <w:lang w:eastAsia="en-GB"/>
        </w:rPr>
        <w:t xml:space="preserve">and </w:t>
      </w:r>
      <w:r w:rsidRPr="003070ED">
        <w:rPr>
          <w:lang w:eastAsia="en-GB"/>
        </w:rPr>
        <w:t>corn chips, sausage rolls, cream biscuits, prepared</w:t>
      </w:r>
      <w:r>
        <w:rPr>
          <w:lang w:eastAsia="en-GB"/>
        </w:rPr>
        <w:t xml:space="preserve"> pastry, and shelf stable cakes</w:t>
      </w:r>
      <w:r w:rsidRPr="003070ED">
        <w:rPr>
          <w:lang w:eastAsia="en-GB"/>
        </w:rPr>
        <w:t>).</w:t>
      </w:r>
    </w:p>
    <w:p w:rsidR="000B6DF7" w:rsidRDefault="000B6DF7" w:rsidP="00DF5914">
      <w:pPr>
        <w:pStyle w:val="FSBullet"/>
        <w:numPr>
          <w:ilvl w:val="0"/>
          <w:numId w:val="0"/>
        </w:numPr>
        <w:ind w:left="567"/>
        <w:rPr>
          <w:lang w:eastAsia="en-GB"/>
        </w:rPr>
      </w:pPr>
    </w:p>
    <w:p w:rsidR="000B6DF7" w:rsidRDefault="000B6DF7" w:rsidP="00DF5914">
      <w:pPr>
        <w:pStyle w:val="FSBullet"/>
        <w:rPr>
          <w:lang w:eastAsia="en-GB"/>
        </w:rPr>
      </w:pPr>
      <w:r>
        <w:rPr>
          <w:lang w:eastAsia="en-GB"/>
        </w:rPr>
        <w:t xml:space="preserve">Median </w:t>
      </w:r>
      <w:r w:rsidRPr="003070ED">
        <w:rPr>
          <w:lang w:eastAsia="en-GB"/>
        </w:rPr>
        <w:t xml:space="preserve">TFA concentrations are greater in </w:t>
      </w:r>
      <w:r>
        <w:rPr>
          <w:lang w:eastAsia="en-GB"/>
        </w:rPr>
        <w:t>seven</w:t>
      </w:r>
      <w:r w:rsidRPr="003070ED">
        <w:rPr>
          <w:lang w:eastAsia="en-GB"/>
        </w:rPr>
        <w:t xml:space="preserve"> of the 19 food products (extruded snacks, edible oil spreads, oil base</w:t>
      </w:r>
      <w:r>
        <w:rPr>
          <w:lang w:eastAsia="en-GB"/>
        </w:rPr>
        <w:t>d dressings, chocolate biscuits</w:t>
      </w:r>
      <w:r w:rsidRPr="003070ED">
        <w:rPr>
          <w:lang w:eastAsia="en-GB"/>
        </w:rPr>
        <w:t>, croissant, cust</w:t>
      </w:r>
      <w:r>
        <w:rPr>
          <w:lang w:eastAsia="en-GB"/>
        </w:rPr>
        <w:t>ard baked goods, and donut).</w:t>
      </w:r>
    </w:p>
    <w:p w:rsidR="000B6DF7" w:rsidRPr="00EA0269" w:rsidRDefault="000B6DF7" w:rsidP="00DF5914">
      <w:pPr>
        <w:pStyle w:val="FSBullet"/>
        <w:numPr>
          <w:ilvl w:val="0"/>
          <w:numId w:val="0"/>
        </w:numPr>
        <w:ind w:left="567"/>
        <w:rPr>
          <w:lang w:eastAsia="en-GB"/>
        </w:rPr>
      </w:pPr>
    </w:p>
    <w:p w:rsidR="000B6DF7" w:rsidRPr="003070ED" w:rsidRDefault="000B6DF7" w:rsidP="00DF5914">
      <w:pPr>
        <w:pStyle w:val="FSBullet"/>
        <w:rPr>
          <w:lang w:eastAsia="en-GB"/>
        </w:rPr>
      </w:pPr>
      <w:r>
        <w:rPr>
          <w:lang w:eastAsia="en-GB"/>
        </w:rPr>
        <w:t xml:space="preserve">Median </w:t>
      </w:r>
      <w:r w:rsidRPr="003070ED">
        <w:rPr>
          <w:lang w:eastAsia="en-GB"/>
        </w:rPr>
        <w:t xml:space="preserve">TFA concentrations were comparable in the remaining </w:t>
      </w:r>
      <w:r>
        <w:rPr>
          <w:lang w:eastAsia="en-GB"/>
        </w:rPr>
        <w:t xml:space="preserve">four </w:t>
      </w:r>
      <w:r w:rsidRPr="003070ED">
        <w:rPr>
          <w:lang w:eastAsia="en-GB"/>
        </w:rPr>
        <w:t>products (crumbed/battered fish fillets, meat pies, savoury biscuits, and snack bars).</w:t>
      </w:r>
    </w:p>
    <w:p w:rsidR="000B6DF7" w:rsidRDefault="000B6DF7" w:rsidP="000B6DF7">
      <w:pPr>
        <w:rPr>
          <w:rFonts w:cs="Arial"/>
          <w:color w:val="000000"/>
          <w:lang w:eastAsia="en-GB"/>
        </w:rPr>
      </w:pPr>
    </w:p>
    <w:p w:rsidR="000B6DF7" w:rsidRDefault="000B6DF7" w:rsidP="000B6DF7">
      <w:pPr>
        <w:rPr>
          <w:rFonts w:cs="Arial"/>
          <w:color w:val="000000"/>
          <w:lang w:eastAsia="en-GB"/>
        </w:rPr>
      </w:pPr>
      <w:r>
        <w:rPr>
          <w:rFonts w:cs="Arial"/>
          <w:color w:val="000000"/>
          <w:lang w:eastAsia="en-GB"/>
        </w:rPr>
        <w:t>These findings are generally consistent with conclusions made in the 2008</w:t>
      </w:r>
      <w:r w:rsidR="004B69D4">
        <w:rPr>
          <w:rFonts w:cs="Arial"/>
          <w:color w:val="000000"/>
          <w:lang w:eastAsia="en-GB"/>
        </w:rPr>
        <w:t>‒</w:t>
      </w:r>
      <w:r>
        <w:rPr>
          <w:rFonts w:cs="Arial"/>
          <w:color w:val="000000"/>
          <w:lang w:eastAsia="en-GB"/>
        </w:rPr>
        <w:t>09 survey report which did not identify a clear trend in changes of TFA concentrations from 2008</w:t>
      </w:r>
      <w:r w:rsidR="004B69D4">
        <w:rPr>
          <w:rFonts w:cs="Arial"/>
          <w:color w:val="000000"/>
          <w:lang w:eastAsia="en-GB"/>
        </w:rPr>
        <w:t>‒</w:t>
      </w:r>
      <w:r>
        <w:rPr>
          <w:rFonts w:cs="Arial"/>
          <w:color w:val="000000"/>
          <w:lang w:eastAsia="en-GB"/>
        </w:rPr>
        <w:t xml:space="preserve">09 to </w:t>
      </w:r>
      <w:r w:rsidR="004B69D4">
        <w:rPr>
          <w:rFonts w:cs="Arial"/>
          <w:color w:val="000000"/>
          <w:lang w:eastAsia="en-GB"/>
        </w:rPr>
        <w:br/>
      </w:r>
      <w:r>
        <w:rPr>
          <w:rFonts w:cs="Arial"/>
          <w:color w:val="000000"/>
          <w:lang w:eastAsia="en-GB"/>
        </w:rPr>
        <w:t>2005</w:t>
      </w:r>
      <w:r w:rsidR="00627232">
        <w:t>–</w:t>
      </w:r>
      <w:r>
        <w:rPr>
          <w:rFonts w:cs="Arial"/>
          <w:color w:val="000000"/>
          <w:lang w:eastAsia="en-GB"/>
        </w:rPr>
        <w:t>2007. The key conclusions in the 2008</w:t>
      </w:r>
      <w:r w:rsidR="004B69D4">
        <w:rPr>
          <w:rFonts w:cs="Arial"/>
          <w:color w:val="000000"/>
          <w:lang w:eastAsia="en-GB"/>
        </w:rPr>
        <w:t>‒</w:t>
      </w:r>
      <w:r>
        <w:rPr>
          <w:rFonts w:cs="Arial"/>
          <w:color w:val="000000"/>
          <w:lang w:eastAsia="en-GB"/>
        </w:rPr>
        <w:t>09 analytical survey report when com</w:t>
      </w:r>
      <w:r w:rsidR="00627232">
        <w:rPr>
          <w:rFonts w:cs="Arial"/>
          <w:color w:val="000000"/>
          <w:lang w:eastAsia="en-GB"/>
        </w:rPr>
        <w:t>pared with the 2005</w:t>
      </w:r>
      <w:r w:rsidR="00627232">
        <w:t>–</w:t>
      </w:r>
      <w:r>
        <w:rPr>
          <w:rFonts w:cs="Arial"/>
          <w:color w:val="000000"/>
          <w:lang w:eastAsia="en-GB"/>
        </w:rPr>
        <w:t xml:space="preserve">2007 survey were: </w:t>
      </w:r>
    </w:p>
    <w:p w:rsidR="000B6DF7" w:rsidRDefault="000B6DF7" w:rsidP="000B6DF7">
      <w:pPr>
        <w:rPr>
          <w:rFonts w:cs="Arial"/>
          <w:color w:val="000000"/>
          <w:lang w:eastAsia="en-GB"/>
        </w:rPr>
      </w:pPr>
    </w:p>
    <w:p w:rsidR="000B6DF7" w:rsidRDefault="000B6DF7" w:rsidP="00DF5914">
      <w:pPr>
        <w:pStyle w:val="FSBullet"/>
        <w:rPr>
          <w:lang w:eastAsia="en-GB"/>
        </w:rPr>
      </w:pPr>
      <w:r w:rsidRPr="003070ED">
        <w:rPr>
          <w:lang w:eastAsia="en-GB"/>
        </w:rPr>
        <w:t xml:space="preserve">Eight of the </w:t>
      </w:r>
      <w:r>
        <w:rPr>
          <w:lang w:eastAsia="en-GB"/>
        </w:rPr>
        <w:t>19</w:t>
      </w:r>
      <w:r w:rsidRPr="003070ED">
        <w:rPr>
          <w:lang w:eastAsia="en-GB"/>
        </w:rPr>
        <w:t xml:space="preserve"> food products (chicken nuggets, deep fried fish fillets, hot chips, potato crisps, sausage rolls, cream filled biscuits, savoury biscuits and shelf stable cakes) showed a redu</w:t>
      </w:r>
      <w:r>
        <w:rPr>
          <w:lang w:eastAsia="en-GB"/>
        </w:rPr>
        <w:t>ction in the median TFA content.</w:t>
      </w:r>
    </w:p>
    <w:p w:rsidR="000B6DF7" w:rsidRPr="00EA0269" w:rsidRDefault="000B6DF7" w:rsidP="00DF5914">
      <w:pPr>
        <w:pStyle w:val="FSBullet"/>
        <w:numPr>
          <w:ilvl w:val="0"/>
          <w:numId w:val="0"/>
        </w:numPr>
        <w:ind w:left="567"/>
        <w:rPr>
          <w:lang w:eastAsia="en-GB"/>
        </w:rPr>
      </w:pPr>
    </w:p>
    <w:p w:rsidR="000B6DF7" w:rsidRPr="00EA0269" w:rsidRDefault="000B6DF7" w:rsidP="00DF5914">
      <w:pPr>
        <w:pStyle w:val="FSBullet"/>
        <w:rPr>
          <w:lang w:eastAsia="en-GB"/>
        </w:rPr>
      </w:pPr>
      <w:r w:rsidRPr="003070ED">
        <w:rPr>
          <w:lang w:eastAsia="en-GB"/>
        </w:rPr>
        <w:t>Three products (pizza, oil based dressings and mu</w:t>
      </w:r>
      <w:r>
        <w:rPr>
          <w:lang w:eastAsia="en-GB"/>
        </w:rPr>
        <w:t>esli bars) remained similar.</w:t>
      </w:r>
    </w:p>
    <w:p w:rsidR="000B6DF7" w:rsidRPr="00EA0269" w:rsidRDefault="000B6DF7" w:rsidP="00DF5914">
      <w:pPr>
        <w:pStyle w:val="FSBullet"/>
        <w:numPr>
          <w:ilvl w:val="0"/>
          <w:numId w:val="0"/>
        </w:numPr>
        <w:ind w:left="567"/>
        <w:rPr>
          <w:lang w:eastAsia="en-GB"/>
        </w:rPr>
      </w:pPr>
    </w:p>
    <w:p w:rsidR="000B6DF7" w:rsidRDefault="000B6DF7" w:rsidP="00DF5914">
      <w:pPr>
        <w:pStyle w:val="FSBullet"/>
        <w:rPr>
          <w:lang w:eastAsia="en-GB"/>
        </w:rPr>
      </w:pPr>
      <w:r w:rsidRPr="003070ED">
        <w:rPr>
          <w:lang w:eastAsia="en-GB"/>
        </w:rPr>
        <w:t xml:space="preserve">Eight food products (extruded snacks, edible oil spreads, meat pies, chocolate biscuits, croissants, custard Danish, donut and prepared pastries) showed an increase in the median </w:t>
      </w:r>
      <w:r>
        <w:rPr>
          <w:lang w:eastAsia="en-GB"/>
        </w:rPr>
        <w:t xml:space="preserve">TFA </w:t>
      </w:r>
      <w:r w:rsidRPr="003070ED">
        <w:rPr>
          <w:lang w:eastAsia="en-GB"/>
        </w:rPr>
        <w:t>value.</w:t>
      </w:r>
    </w:p>
    <w:p w:rsidR="000B6DF7" w:rsidRDefault="000B6DF7" w:rsidP="000B6DF7">
      <w:pPr>
        <w:rPr>
          <w:rFonts w:cs="Arial"/>
          <w:color w:val="000000"/>
          <w:lang w:eastAsia="en-GB"/>
        </w:rPr>
      </w:pPr>
    </w:p>
    <w:p w:rsidR="000B6DF7" w:rsidRDefault="000B6DF7" w:rsidP="000B6DF7">
      <w:pPr>
        <w:rPr>
          <w:rFonts w:cs="Arial"/>
          <w:color w:val="000000"/>
          <w:lang w:eastAsia="en-GB"/>
        </w:rPr>
      </w:pPr>
      <w:r>
        <w:rPr>
          <w:rFonts w:cs="Arial"/>
          <w:color w:val="000000"/>
          <w:lang w:eastAsia="en-GB"/>
        </w:rPr>
        <w:t xml:space="preserve">A comparison of TFA concentrations in Australian and New Zealand foods with other published domestic and international surveys is also shown in Appendix 5.  </w:t>
      </w:r>
    </w:p>
    <w:p w:rsidR="000B6DF7" w:rsidRPr="00D235F9" w:rsidRDefault="000B6DF7" w:rsidP="000B6DF7">
      <w:pPr>
        <w:rPr>
          <w:rFonts w:cs="Arial"/>
          <w:color w:val="000000"/>
          <w:lang w:eastAsia="en-GB"/>
        </w:rPr>
      </w:pPr>
    </w:p>
    <w:p w:rsidR="000B6DF7" w:rsidRDefault="000B6DF7" w:rsidP="000B6DF7">
      <w:pPr>
        <w:rPr>
          <w:rFonts w:cs="Arial"/>
          <w:color w:val="000000"/>
          <w:lang w:eastAsia="en-GB"/>
        </w:rPr>
        <w:sectPr w:rsidR="000B6DF7" w:rsidSect="000B6DF7">
          <w:footerReference w:type="default" r:id="rId22"/>
          <w:pgSz w:w="11906" w:h="16838"/>
          <w:pgMar w:top="1418" w:right="1418" w:bottom="1418" w:left="1418" w:header="709" w:footer="709" w:gutter="0"/>
          <w:cols w:space="708"/>
          <w:docGrid w:linePitch="360"/>
        </w:sectPr>
      </w:pPr>
    </w:p>
    <w:p w:rsidR="000B6DF7" w:rsidRDefault="000B6DF7" w:rsidP="000B6DF7">
      <w:pPr>
        <w:rPr>
          <w:rFonts w:cs="Arial"/>
          <w:color w:val="000000"/>
          <w:lang w:eastAsia="en-GB"/>
        </w:rPr>
      </w:pPr>
    </w:p>
    <w:p w:rsidR="000B6DF7" w:rsidRDefault="00752239" w:rsidP="000B6DF7">
      <w:pPr>
        <w:ind w:right="-32"/>
        <w:rPr>
          <w:rFonts w:eastAsiaTheme="majorEastAsia" w:cs="Arial"/>
          <w:b/>
          <w:bCs/>
          <w:sz w:val="28"/>
        </w:rPr>
      </w:pPr>
      <w:r w:rsidRPr="00E052C6">
        <w:rPr>
          <w:rFonts w:eastAsiaTheme="majorEastAsia" w:cs="Arial"/>
          <w:b/>
          <w:bCs/>
          <w:noProof/>
          <w:lang w:val="en-NZ" w:eastAsia="en-NZ" w:bidi="ar-SA"/>
        </w:rPr>
        <mc:AlternateContent>
          <mc:Choice Requires="wps">
            <w:drawing>
              <wp:anchor distT="0" distB="0" distL="114300" distR="114300" simplePos="0" relativeHeight="251666432" behindDoc="0" locked="0" layoutInCell="1" allowOverlap="1" wp14:anchorId="11EA5FC2" wp14:editId="67685324">
                <wp:simplePos x="0" y="0"/>
                <wp:positionH relativeFrom="column">
                  <wp:posOffset>8510270</wp:posOffset>
                </wp:positionH>
                <wp:positionV relativeFrom="paragraph">
                  <wp:posOffset>4942840</wp:posOffset>
                </wp:positionV>
                <wp:extent cx="409575" cy="180975"/>
                <wp:effectExtent l="0" t="0" r="952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80975"/>
                        </a:xfrm>
                        <a:prstGeom prst="rect">
                          <a:avLst/>
                        </a:prstGeom>
                        <a:solidFill>
                          <a:srgbClr val="FFFFFF"/>
                        </a:solidFill>
                        <a:ln w="9525">
                          <a:noFill/>
                          <a:miter lim="800000"/>
                          <a:headEnd/>
                          <a:tailEnd/>
                        </a:ln>
                      </wps:spPr>
                      <wps:txbx>
                        <w:txbxContent>
                          <w:p w:rsidR="00BA6065" w:rsidRPr="00752239" w:rsidRDefault="00BA6065" w:rsidP="000B6DF7">
                            <w:pPr>
                              <w:rPr>
                                <w:sz w:val="10"/>
                              </w:rPr>
                            </w:pPr>
                            <w:r w:rsidRPr="00752239">
                              <w:rPr>
                                <w:sz w:val="10"/>
                              </w:rPr>
                              <w:t>&lt;LOR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70.1pt;margin-top:389.2pt;width:32.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" stroked="f">
                <v:textbox>
                  <w:txbxContent>
                    <w:p w:rsidR="00BA6065" w:rsidRPr="00752239" w:rsidRDefault="00BA6065" w:rsidP="000B6DF7">
                      <w:pPr>
                        <w:rPr>
                          <w:sz w:val="10"/>
                        </w:rPr>
                      </w:pPr>
                      <w:r w:rsidRPr="00752239">
                        <w:rPr>
                          <w:sz w:val="10"/>
                        </w:rPr>
                        <w:t>&lt;LOR</w:t>
                      </w:r>
                    </w:p>
                  </w:txbxContent>
                </v:textbox>
              </v:shape>
            </w:pict>
          </mc:Fallback>
        </mc:AlternateContent>
      </w:r>
      <w:r w:rsidRPr="00E052C6">
        <w:rPr>
          <w:rFonts w:eastAsiaTheme="majorEastAsia" w:cs="Arial"/>
          <w:b/>
          <w:bCs/>
          <w:noProof/>
          <w:lang w:val="en-NZ" w:eastAsia="en-NZ" w:bidi="ar-SA"/>
        </w:rPr>
        <mc:AlternateContent>
          <mc:Choice Requires="wps">
            <w:drawing>
              <wp:anchor distT="0" distB="0" distL="114300" distR="114300" simplePos="0" relativeHeight="251665408" behindDoc="0" locked="0" layoutInCell="1" allowOverlap="1" wp14:anchorId="284A78BA" wp14:editId="4C063995">
                <wp:simplePos x="0" y="0"/>
                <wp:positionH relativeFrom="column">
                  <wp:posOffset>8510270</wp:posOffset>
                </wp:positionH>
                <wp:positionV relativeFrom="paragraph">
                  <wp:posOffset>4759574</wp:posOffset>
                </wp:positionV>
                <wp:extent cx="409575" cy="18097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80975"/>
                        </a:xfrm>
                        <a:prstGeom prst="rect">
                          <a:avLst/>
                        </a:prstGeom>
                        <a:solidFill>
                          <a:srgbClr val="FFFFFF"/>
                        </a:solidFill>
                        <a:ln w="9525">
                          <a:noFill/>
                          <a:miter lim="800000"/>
                          <a:headEnd/>
                          <a:tailEnd/>
                        </a:ln>
                      </wps:spPr>
                      <wps:txbx>
                        <w:txbxContent>
                          <w:p w:rsidR="00BA6065" w:rsidRPr="00752239" w:rsidRDefault="00BA6065" w:rsidP="000B6DF7">
                            <w:pPr>
                              <w:rPr>
                                <w:sz w:val="10"/>
                              </w:rPr>
                            </w:pPr>
                            <w:r w:rsidRPr="00752239">
                              <w:rPr>
                                <w:sz w:val="10"/>
                              </w:rPr>
                              <w:t>&lt;LOR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70.1pt;margin-top:374.75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" stroked="f">
                <v:textbox>
                  <w:txbxContent>
                    <w:p w:rsidR="00BA6065" w:rsidRPr="00752239" w:rsidRDefault="00BA6065" w:rsidP="000B6DF7">
                      <w:pPr>
                        <w:rPr>
                          <w:sz w:val="10"/>
                        </w:rPr>
                      </w:pPr>
                      <w:r w:rsidRPr="00752239">
                        <w:rPr>
                          <w:sz w:val="10"/>
                        </w:rPr>
                        <w:t>&lt;LOR</w:t>
                      </w:r>
                    </w:p>
                  </w:txbxContent>
                </v:textbox>
              </v:shape>
            </w:pict>
          </mc:Fallback>
        </mc:AlternateContent>
      </w:r>
      <w:r w:rsidRPr="00E052C6">
        <w:rPr>
          <w:rFonts w:eastAsiaTheme="majorEastAsia" w:cs="Arial"/>
          <w:b/>
          <w:bCs/>
          <w:noProof/>
          <w:lang w:val="en-NZ" w:eastAsia="en-NZ" w:bidi="ar-SA"/>
        </w:rPr>
        <mc:AlternateContent>
          <mc:Choice Requires="wps">
            <w:drawing>
              <wp:anchor distT="0" distB="0" distL="114300" distR="114300" simplePos="0" relativeHeight="251664384" behindDoc="0" locked="0" layoutInCell="1" allowOverlap="1" wp14:anchorId="25DBE3F2" wp14:editId="7FC47415">
                <wp:simplePos x="0" y="0"/>
                <wp:positionH relativeFrom="column">
                  <wp:posOffset>8510270</wp:posOffset>
                </wp:positionH>
                <wp:positionV relativeFrom="paragraph">
                  <wp:posOffset>4617444</wp:posOffset>
                </wp:positionV>
                <wp:extent cx="409575" cy="1809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80975"/>
                        </a:xfrm>
                        <a:prstGeom prst="rect">
                          <a:avLst/>
                        </a:prstGeom>
                        <a:solidFill>
                          <a:srgbClr val="FFFFFF"/>
                        </a:solidFill>
                        <a:ln w="9525">
                          <a:noFill/>
                          <a:miter lim="800000"/>
                          <a:headEnd/>
                          <a:tailEnd/>
                        </a:ln>
                      </wps:spPr>
                      <wps:txbx>
                        <w:txbxContent>
                          <w:p w:rsidR="00BA6065" w:rsidRPr="00752239" w:rsidRDefault="00BA6065" w:rsidP="000B6DF7">
                            <w:pPr>
                              <w:rPr>
                                <w:sz w:val="10"/>
                              </w:rPr>
                            </w:pPr>
                            <w:r w:rsidRPr="00752239">
                              <w:rPr>
                                <w:sz w:val="10"/>
                              </w:rPr>
                              <w:t>&lt;LOR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70.1pt;margin-top:363.6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" stroked="f">
                <v:textbox>
                  <w:txbxContent>
                    <w:p w:rsidR="00BA6065" w:rsidRPr="00752239" w:rsidRDefault="00BA6065" w:rsidP="000B6DF7">
                      <w:pPr>
                        <w:rPr>
                          <w:sz w:val="10"/>
                        </w:rPr>
                      </w:pPr>
                      <w:r w:rsidRPr="00752239">
                        <w:rPr>
                          <w:sz w:val="10"/>
                        </w:rPr>
                        <w:t>&lt;LOR</w:t>
                      </w:r>
                    </w:p>
                  </w:txbxContent>
                </v:textbox>
              </v:shape>
            </w:pict>
          </mc:Fallback>
        </mc:AlternateContent>
      </w:r>
      <w:r w:rsidR="000B6DF7" w:rsidRPr="00E052C6">
        <w:rPr>
          <w:rFonts w:eastAsiaTheme="majorEastAsia" w:cs="Arial"/>
          <w:b/>
          <w:bCs/>
          <w:noProof/>
          <w:lang w:val="en-NZ" w:eastAsia="en-NZ" w:bidi="ar-SA"/>
        </w:rPr>
        <mc:AlternateContent>
          <mc:Choice Requires="wps">
            <w:drawing>
              <wp:anchor distT="0" distB="0" distL="114300" distR="114300" simplePos="0" relativeHeight="251667456" behindDoc="0" locked="0" layoutInCell="1" allowOverlap="1" wp14:anchorId="2EA63A2C" wp14:editId="3A127D15">
                <wp:simplePos x="0" y="0"/>
                <wp:positionH relativeFrom="column">
                  <wp:posOffset>2486660</wp:posOffset>
                </wp:positionH>
                <wp:positionV relativeFrom="paragraph">
                  <wp:posOffset>4603363</wp:posOffset>
                </wp:positionV>
                <wp:extent cx="409575" cy="196877"/>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6877"/>
                        </a:xfrm>
                        <a:prstGeom prst="rect">
                          <a:avLst/>
                        </a:prstGeom>
                        <a:solidFill>
                          <a:srgbClr val="FFFFFF"/>
                        </a:solidFill>
                        <a:ln w="9525">
                          <a:noFill/>
                          <a:miter lim="800000"/>
                          <a:headEnd/>
                          <a:tailEnd/>
                        </a:ln>
                      </wps:spPr>
                      <wps:txbx>
                        <w:txbxContent>
                          <w:p w:rsidR="00BA6065" w:rsidRPr="00752239" w:rsidRDefault="00BA6065" w:rsidP="000B6DF7">
                            <w:pPr>
                              <w:rPr>
                                <w:sz w:val="10"/>
                              </w:rPr>
                            </w:pPr>
                            <w:r w:rsidRPr="00752239">
                              <w:rPr>
                                <w:sz w:val="10"/>
                              </w:rPr>
                              <w:t>&lt;LOR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5.8pt;margin-top:362.45pt;width:32.2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" stroked="f">
                <v:textbox>
                  <w:txbxContent>
                    <w:p w:rsidR="00BA6065" w:rsidRPr="00752239" w:rsidRDefault="00BA6065" w:rsidP="000B6DF7">
                      <w:pPr>
                        <w:rPr>
                          <w:sz w:val="10"/>
                        </w:rPr>
                      </w:pPr>
                      <w:r w:rsidRPr="00752239">
                        <w:rPr>
                          <w:sz w:val="10"/>
                        </w:rPr>
                        <w:t>&lt;LOR</w:t>
                      </w:r>
                    </w:p>
                  </w:txbxContent>
                </v:textbox>
              </v:shape>
            </w:pict>
          </mc:Fallback>
        </mc:AlternateContent>
      </w:r>
      <w:r w:rsidR="000B6DF7">
        <w:rPr>
          <w:noProof/>
          <w:lang w:val="en-NZ" w:eastAsia="en-NZ" w:bidi="ar-SA"/>
        </w:rPr>
        <w:drawing>
          <wp:inline distT="0" distB="0" distL="0" distR="0" wp14:anchorId="725552F6" wp14:editId="4E5C9A62">
            <wp:extent cx="9058940" cy="5124893"/>
            <wp:effectExtent l="0" t="0" r="2794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B6DF7" w:rsidRPr="00200C07" w:rsidRDefault="000B6DF7" w:rsidP="000B6DF7">
      <w:pPr>
        <w:spacing w:before="240" w:after="240"/>
        <w:ind w:right="-428"/>
        <w:rPr>
          <w:rFonts w:eastAsiaTheme="majorEastAsia" w:cs="Arial"/>
          <w:bCs/>
          <w:i/>
        </w:rPr>
      </w:pPr>
      <w:r>
        <w:rPr>
          <w:rFonts w:eastAsiaTheme="majorEastAsia" w:cs="Arial"/>
          <w:b/>
          <w:bCs/>
        </w:rPr>
        <w:t>Figure 4</w:t>
      </w:r>
      <w:r w:rsidR="00DF5914">
        <w:rPr>
          <w:rFonts w:eastAsiaTheme="majorEastAsia" w:cs="Arial"/>
          <w:b/>
          <w:bCs/>
        </w:rPr>
        <w:tab/>
      </w:r>
      <w:r w:rsidRPr="00914BCF">
        <w:rPr>
          <w:rFonts w:eastAsiaTheme="majorEastAsia" w:cs="Arial"/>
          <w:bCs/>
        </w:rPr>
        <w:t xml:space="preserve">Median concentrations of </w:t>
      </w:r>
      <w:r w:rsidR="00D65247">
        <w:rPr>
          <w:rFonts w:eastAsiaTheme="majorEastAsia" w:cs="Arial"/>
          <w:bCs/>
        </w:rPr>
        <w:t>TFA</w:t>
      </w:r>
      <w:r w:rsidRPr="00914BCF">
        <w:rPr>
          <w:rFonts w:eastAsiaTheme="majorEastAsia" w:cs="Arial"/>
          <w:bCs/>
        </w:rPr>
        <w:t xml:space="preserve"> measured in 19 product categories in the 2005-2007, 2008/09 and 2013 surveys.</w:t>
      </w:r>
    </w:p>
    <w:p w:rsidR="000B6DF7" w:rsidRPr="00A756BB" w:rsidRDefault="000B6DF7" w:rsidP="000B6DF7">
      <w:pPr>
        <w:spacing w:before="240" w:after="240"/>
        <w:ind w:right="-428"/>
        <w:jc w:val="center"/>
        <w:rPr>
          <w:rFonts w:eastAsiaTheme="majorEastAsia" w:cs="Arial"/>
          <w:b/>
          <w:bCs/>
        </w:rPr>
        <w:sectPr w:rsidR="000B6DF7" w:rsidRPr="00A756BB" w:rsidSect="000B6DF7">
          <w:footerReference w:type="default" r:id="rId24"/>
          <w:pgSz w:w="16838" w:h="11906" w:orient="landscape"/>
          <w:pgMar w:top="1418" w:right="1418" w:bottom="1418" w:left="1418" w:header="709" w:footer="709" w:gutter="0"/>
          <w:cols w:space="708"/>
          <w:docGrid w:linePitch="360"/>
        </w:sectPr>
      </w:pPr>
    </w:p>
    <w:p w:rsidR="000B6DF7" w:rsidRDefault="00DF5914" w:rsidP="00DF5914">
      <w:pPr>
        <w:pStyle w:val="Heading1"/>
        <w:rPr>
          <w:lang w:eastAsia="en-AU"/>
        </w:rPr>
      </w:pPr>
      <w:bookmarkStart w:id="36" w:name="_Toc387832033"/>
      <w:bookmarkStart w:id="37" w:name="_Toc389652013"/>
      <w:r w:rsidRPr="00DF5914">
        <w:lastRenderedPageBreak/>
        <w:t>9</w:t>
      </w:r>
      <w:r>
        <w:tab/>
      </w:r>
      <w:r w:rsidR="000B6DF7" w:rsidRPr="00DF5914">
        <w:t>Comparison</w:t>
      </w:r>
      <w:r w:rsidR="000B6DF7" w:rsidRPr="00E01EB3">
        <w:rPr>
          <w:lang w:eastAsia="en-AU"/>
        </w:rPr>
        <w:t xml:space="preserve"> to </w:t>
      </w:r>
      <w:r w:rsidR="000B6DF7">
        <w:rPr>
          <w:lang w:eastAsia="en-AU"/>
        </w:rPr>
        <w:t>the Danish maximum level of TFA</w:t>
      </w:r>
      <w:bookmarkEnd w:id="36"/>
      <w:r w:rsidR="002867E4">
        <w:rPr>
          <w:lang w:eastAsia="en-AU"/>
        </w:rPr>
        <w:t>s</w:t>
      </w:r>
      <w:bookmarkEnd w:id="37"/>
    </w:p>
    <w:p w:rsidR="000B6DF7" w:rsidRDefault="00F34598" w:rsidP="000B6DF7">
      <w:pPr>
        <w:rPr>
          <w:lang w:eastAsia="en-AU"/>
        </w:rPr>
      </w:pPr>
      <w:r>
        <w:rPr>
          <w:lang w:eastAsia="en-AU"/>
        </w:rPr>
        <w:t>In June 2003</w:t>
      </w:r>
      <w:r w:rsidR="000B6DF7">
        <w:rPr>
          <w:lang w:eastAsia="en-AU"/>
        </w:rPr>
        <w:t xml:space="preserve">, Denmark </w:t>
      </w:r>
      <w:r w:rsidR="000B6DF7" w:rsidRPr="000E3731">
        <w:rPr>
          <w:lang w:eastAsia="en-AU"/>
        </w:rPr>
        <w:t>implement</w:t>
      </w:r>
      <w:r w:rsidR="000B6DF7">
        <w:rPr>
          <w:lang w:eastAsia="en-AU"/>
        </w:rPr>
        <w:t>ed</w:t>
      </w:r>
      <w:r w:rsidR="000B6DF7" w:rsidRPr="000E3731">
        <w:rPr>
          <w:lang w:eastAsia="en-AU"/>
        </w:rPr>
        <w:t xml:space="preserve"> a maximum level on the conten</w:t>
      </w:r>
      <w:r w:rsidR="000B6DF7">
        <w:rPr>
          <w:lang w:eastAsia="en-AU"/>
        </w:rPr>
        <w:t>t of industrially produced TFA</w:t>
      </w:r>
      <w:r w:rsidR="002867E4">
        <w:rPr>
          <w:lang w:eastAsia="en-AU"/>
        </w:rPr>
        <w:t>s</w:t>
      </w:r>
      <w:r w:rsidR="000B6DF7">
        <w:rPr>
          <w:lang w:eastAsia="en-AU"/>
        </w:rPr>
        <w:t xml:space="preserve"> in processed foods. </w:t>
      </w:r>
      <w:r w:rsidR="004B69D4">
        <w:rPr>
          <w:lang w:eastAsia="en-AU"/>
        </w:rPr>
        <w:t xml:space="preserve">Under this </w:t>
      </w:r>
      <w:r w:rsidR="000B6DF7" w:rsidRPr="000E3731">
        <w:rPr>
          <w:lang w:eastAsia="en-AU"/>
        </w:rPr>
        <w:t>legislatio</w:t>
      </w:r>
      <w:r w:rsidR="000B6DF7">
        <w:rPr>
          <w:lang w:eastAsia="en-AU"/>
        </w:rPr>
        <w:t>n the content of TFA</w:t>
      </w:r>
      <w:r w:rsidR="002867E4">
        <w:rPr>
          <w:lang w:eastAsia="en-AU"/>
        </w:rPr>
        <w:t>s</w:t>
      </w:r>
      <w:r w:rsidR="000B6DF7" w:rsidRPr="000E3731">
        <w:rPr>
          <w:lang w:eastAsia="en-AU"/>
        </w:rPr>
        <w:t xml:space="preserve"> in oils, fats and food products </w:t>
      </w:r>
      <w:r w:rsidR="004B69D4">
        <w:rPr>
          <w:lang w:eastAsia="en-AU"/>
        </w:rPr>
        <w:t xml:space="preserve">can’t </w:t>
      </w:r>
      <w:r w:rsidR="000B6DF7" w:rsidRPr="000E3731">
        <w:rPr>
          <w:lang w:eastAsia="en-AU"/>
        </w:rPr>
        <w:t>exceed 2 grams per 100 grams</w:t>
      </w:r>
      <w:r w:rsidR="000B6DF7">
        <w:rPr>
          <w:lang w:eastAsia="en-AU"/>
        </w:rPr>
        <w:t xml:space="preserve"> </w:t>
      </w:r>
      <w:r w:rsidR="000B6DF7" w:rsidRPr="004B53A5">
        <w:rPr>
          <w:u w:val="single"/>
          <w:lang w:eastAsia="en-AU"/>
        </w:rPr>
        <w:t>of oil or fat</w:t>
      </w:r>
      <w:r w:rsidR="000B6DF7">
        <w:rPr>
          <w:lang w:eastAsia="en-AU"/>
        </w:rPr>
        <w:t xml:space="preserve">. The maximum level </w:t>
      </w:r>
      <w:r w:rsidR="000B6DF7" w:rsidRPr="000E3731">
        <w:rPr>
          <w:lang w:eastAsia="en-AU"/>
        </w:rPr>
        <w:t xml:space="preserve">applies </w:t>
      </w:r>
      <w:r w:rsidR="000B6DF7">
        <w:rPr>
          <w:lang w:eastAsia="en-AU"/>
        </w:rPr>
        <w:t>only to industrially produced TFA and</w:t>
      </w:r>
      <w:r w:rsidR="000B6DF7" w:rsidRPr="000E3731">
        <w:rPr>
          <w:lang w:eastAsia="en-AU"/>
        </w:rPr>
        <w:t xml:space="preserve"> not to </w:t>
      </w:r>
      <w:r w:rsidR="000B6DF7">
        <w:rPr>
          <w:lang w:eastAsia="en-AU"/>
        </w:rPr>
        <w:t>the naturally occurring TFA’s found</w:t>
      </w:r>
      <w:r w:rsidR="000B6DF7" w:rsidRPr="000E3731">
        <w:rPr>
          <w:lang w:eastAsia="en-AU"/>
        </w:rPr>
        <w:t xml:space="preserve"> in meat and milk from certain animals (Danish Veterinary and Food Administration 2014). </w:t>
      </w:r>
    </w:p>
    <w:p w:rsidR="000B6DF7" w:rsidRDefault="000B6DF7" w:rsidP="000B6DF7">
      <w:pPr>
        <w:rPr>
          <w:lang w:eastAsia="en-AU"/>
        </w:rPr>
      </w:pPr>
    </w:p>
    <w:p w:rsidR="000B6DF7" w:rsidRDefault="000B6DF7" w:rsidP="000B6DF7">
      <w:pPr>
        <w:rPr>
          <w:lang w:eastAsia="en-AU"/>
        </w:rPr>
      </w:pPr>
      <w:r w:rsidRPr="007B4D9D">
        <w:rPr>
          <w:lang w:eastAsia="en-AU"/>
        </w:rPr>
        <w:t xml:space="preserve">A comparison of the results for the 500 products sampled as a part of this survey with the Danish maximum level showed that TFA concentrations were below 2 </w:t>
      </w:r>
      <w:r w:rsidR="002867E4">
        <w:rPr>
          <w:lang w:eastAsia="en-AU"/>
        </w:rPr>
        <w:t>g/</w:t>
      </w:r>
      <w:r>
        <w:rPr>
          <w:lang w:eastAsia="en-AU"/>
        </w:rPr>
        <w:t>100 g</w:t>
      </w:r>
      <w:r w:rsidRPr="007B4D9D">
        <w:rPr>
          <w:lang w:eastAsia="en-AU"/>
        </w:rPr>
        <w:t xml:space="preserve"> </w:t>
      </w:r>
      <w:r w:rsidR="002867E4">
        <w:rPr>
          <w:lang w:eastAsia="en-AU"/>
        </w:rPr>
        <w:t>fat</w:t>
      </w:r>
      <w:r w:rsidRPr="007B4D9D">
        <w:rPr>
          <w:lang w:eastAsia="en-AU"/>
        </w:rPr>
        <w:t xml:space="preserve"> in </w:t>
      </w:r>
      <w:r>
        <w:rPr>
          <w:lang w:eastAsia="en-AU"/>
        </w:rPr>
        <w:t xml:space="preserve">approximately </w:t>
      </w:r>
      <w:r w:rsidRPr="007B4D9D">
        <w:rPr>
          <w:lang w:eastAsia="en-AU"/>
        </w:rPr>
        <w:t>74% of products (refer to Figure 5).</w:t>
      </w:r>
      <w:r>
        <w:rPr>
          <w:lang w:eastAsia="en-AU"/>
        </w:rPr>
        <w:t xml:space="preserve"> A total of 127 products contained TFA</w:t>
      </w:r>
      <w:r w:rsidR="002867E4">
        <w:rPr>
          <w:lang w:eastAsia="en-AU"/>
        </w:rPr>
        <w:t>s</w:t>
      </w:r>
      <w:r>
        <w:rPr>
          <w:lang w:eastAsia="en-AU"/>
        </w:rPr>
        <w:t xml:space="preserve"> at con</w:t>
      </w:r>
      <w:r w:rsidR="00627232">
        <w:rPr>
          <w:lang w:eastAsia="en-AU"/>
        </w:rPr>
        <w:t>centrations of greater than 2 g/</w:t>
      </w:r>
      <w:r>
        <w:rPr>
          <w:lang w:eastAsia="en-AU"/>
        </w:rPr>
        <w:t xml:space="preserve">100 g </w:t>
      </w:r>
      <w:r w:rsidR="002867E4">
        <w:rPr>
          <w:lang w:eastAsia="en-AU"/>
        </w:rPr>
        <w:t>fat</w:t>
      </w:r>
      <w:r w:rsidR="00D45853">
        <w:rPr>
          <w:lang w:eastAsia="en-AU"/>
        </w:rPr>
        <w:t>. However, this group included</w:t>
      </w:r>
      <w:r>
        <w:rPr>
          <w:lang w:eastAsia="en-AU"/>
        </w:rPr>
        <w:t xml:space="preserve"> products that are expected to contain </w:t>
      </w:r>
      <w:r w:rsidR="00D45853">
        <w:rPr>
          <w:lang w:eastAsia="en-AU"/>
        </w:rPr>
        <w:t xml:space="preserve">both manufactured and </w:t>
      </w:r>
      <w:r>
        <w:rPr>
          <w:lang w:eastAsia="en-AU"/>
        </w:rPr>
        <w:t>naturally occurring TFA</w:t>
      </w:r>
      <w:r w:rsidR="00627232">
        <w:rPr>
          <w:lang w:eastAsia="en-AU"/>
        </w:rPr>
        <w:t>s</w:t>
      </w:r>
      <w:r w:rsidR="00D45853">
        <w:rPr>
          <w:lang w:eastAsia="en-AU"/>
        </w:rPr>
        <w:t xml:space="preserve"> </w:t>
      </w:r>
      <w:r>
        <w:rPr>
          <w:lang w:eastAsia="en-AU"/>
        </w:rPr>
        <w:t xml:space="preserve">(refer to Table 4). </w:t>
      </w:r>
    </w:p>
    <w:p w:rsidR="000B6DF7" w:rsidRDefault="000B6DF7" w:rsidP="000B6DF7">
      <w:pPr>
        <w:rPr>
          <w:lang w:eastAsia="en-AU"/>
        </w:rPr>
      </w:pPr>
    </w:p>
    <w:p w:rsidR="000B6DF7" w:rsidRDefault="000B6DF7" w:rsidP="000B6DF7">
      <w:pPr>
        <w:spacing w:before="240"/>
        <w:jc w:val="center"/>
      </w:pPr>
      <w:r w:rsidRPr="00C55DCD">
        <w:rPr>
          <w:noProof/>
          <w:sz w:val="32"/>
          <w:lang w:val="en-NZ" w:eastAsia="en-NZ" w:bidi="ar-SA"/>
        </w:rPr>
        <w:drawing>
          <wp:inline distT="0" distB="0" distL="0" distR="0" wp14:anchorId="519B748C" wp14:editId="53D2FB9F">
            <wp:extent cx="5422604" cy="2764466"/>
            <wp:effectExtent l="0" t="0" r="26035"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B6DF7" w:rsidRPr="00632AE7" w:rsidRDefault="000B6DF7" w:rsidP="006617A3">
      <w:pPr>
        <w:spacing w:before="240" w:after="240"/>
        <w:ind w:left="1134" w:hanging="1134"/>
        <w:rPr>
          <w:i/>
        </w:rPr>
      </w:pPr>
      <w:r w:rsidRPr="00632AE7">
        <w:rPr>
          <w:b/>
        </w:rPr>
        <w:t>Figure 5</w:t>
      </w:r>
      <w:r w:rsidR="00DF5914">
        <w:rPr>
          <w:b/>
        </w:rPr>
        <w:tab/>
      </w:r>
      <w:r w:rsidRPr="00632AE7">
        <w:t xml:space="preserve">Proportion of samples </w:t>
      </w:r>
      <w:r w:rsidR="00DF5914">
        <w:t>containing greater than 2% (2 g/</w:t>
      </w:r>
      <w:r w:rsidRPr="00632AE7">
        <w:t>100 g</w:t>
      </w:r>
      <w:r w:rsidR="002867E4">
        <w:t xml:space="preserve"> fat</w:t>
      </w:r>
      <w:r w:rsidRPr="00632AE7">
        <w:t>) TFA</w:t>
      </w:r>
      <w:r w:rsidR="002867E4">
        <w:t>s</w:t>
      </w:r>
      <w:r w:rsidRPr="00632AE7">
        <w:t>; less than or equal to 2% TFA</w:t>
      </w:r>
      <w:r w:rsidR="002867E4">
        <w:t>s</w:t>
      </w:r>
      <w:r w:rsidRPr="00632AE7">
        <w:t xml:space="preserve"> </w:t>
      </w:r>
      <w:r w:rsidR="002867E4">
        <w:t>of total fat</w:t>
      </w:r>
      <w:r w:rsidRPr="00632AE7">
        <w:t>; or non-d</w:t>
      </w:r>
      <w:r w:rsidR="00DF5914">
        <w:t>etectable concentrations of TFA</w:t>
      </w:r>
    </w:p>
    <w:p w:rsidR="000B6DF7" w:rsidRDefault="00DC5880" w:rsidP="000B6DF7">
      <w:pPr>
        <w:rPr>
          <w:lang w:eastAsia="en-AU"/>
        </w:rPr>
      </w:pPr>
      <w:r>
        <w:rPr>
          <w:lang w:eastAsia="en-AU"/>
        </w:rPr>
        <w:t xml:space="preserve">To </w:t>
      </w:r>
      <w:r w:rsidR="009D361C">
        <w:rPr>
          <w:lang w:eastAsia="en-AU"/>
        </w:rPr>
        <w:t>help compare</w:t>
      </w:r>
      <w:r w:rsidR="00DB35B2">
        <w:rPr>
          <w:lang w:eastAsia="en-AU"/>
        </w:rPr>
        <w:t xml:space="preserve"> the results with the previous 2008</w:t>
      </w:r>
      <w:r w:rsidR="009D361C">
        <w:rPr>
          <w:rFonts w:cs="Arial"/>
          <w:lang w:eastAsia="en-AU"/>
        </w:rPr>
        <w:t>‒</w:t>
      </w:r>
      <w:r w:rsidR="00DB35B2">
        <w:rPr>
          <w:lang w:eastAsia="en-AU"/>
        </w:rPr>
        <w:t xml:space="preserve">09 survey, food products that may contain considerable proportions of ruminant TFA, including </w:t>
      </w:r>
      <w:r w:rsidR="000B6DF7">
        <w:rPr>
          <w:lang w:eastAsia="en-AU"/>
        </w:rPr>
        <w:t>pizza, meat pies, saus</w:t>
      </w:r>
      <w:r w:rsidR="001E60A6">
        <w:rPr>
          <w:lang w:eastAsia="en-AU"/>
        </w:rPr>
        <w:t>age rolls, croissants, desserts and</w:t>
      </w:r>
      <w:r w:rsidR="000B6DF7">
        <w:rPr>
          <w:lang w:eastAsia="en-AU"/>
        </w:rPr>
        <w:t xml:space="preserve"> custard </w:t>
      </w:r>
      <w:r w:rsidR="00DB35B2">
        <w:rPr>
          <w:lang w:eastAsia="en-AU"/>
        </w:rPr>
        <w:t xml:space="preserve">baked goods were excluded from the analysis. </w:t>
      </w:r>
      <w:r w:rsidR="005F2253">
        <w:rPr>
          <w:lang w:eastAsia="en-AU"/>
        </w:rPr>
        <w:t>When these products were omitted, t</w:t>
      </w:r>
      <w:r w:rsidR="000B6DF7">
        <w:rPr>
          <w:lang w:eastAsia="en-AU"/>
        </w:rPr>
        <w:t>he percentage of products with TFA concentra</w:t>
      </w:r>
      <w:r w:rsidR="00757662">
        <w:rPr>
          <w:lang w:eastAsia="en-AU"/>
        </w:rPr>
        <w:t>tions less than or equal to 2 g/</w:t>
      </w:r>
      <w:r w:rsidR="00F5623B">
        <w:rPr>
          <w:lang w:eastAsia="en-AU"/>
        </w:rPr>
        <w:t>100 g fat is approximately 86</w:t>
      </w:r>
      <w:r w:rsidR="000B6DF7">
        <w:rPr>
          <w:lang w:eastAsia="en-AU"/>
        </w:rPr>
        <w:t>%. This is comparable to the 2008</w:t>
      </w:r>
      <w:r w:rsidR="009D361C">
        <w:rPr>
          <w:rFonts w:cs="Arial"/>
          <w:lang w:eastAsia="en-AU"/>
        </w:rPr>
        <w:t>‒</w:t>
      </w:r>
      <w:r w:rsidR="000B6DF7">
        <w:rPr>
          <w:lang w:eastAsia="en-AU"/>
        </w:rPr>
        <w:t xml:space="preserve">09 NSW analytical </w:t>
      </w:r>
      <w:r w:rsidR="000B6DF7" w:rsidRPr="00271908">
        <w:rPr>
          <w:lang w:eastAsia="en-AU"/>
        </w:rPr>
        <w:t xml:space="preserve">survey which found that </w:t>
      </w:r>
      <w:r w:rsidR="009D361C">
        <w:rPr>
          <w:lang w:eastAsia="en-AU"/>
        </w:rPr>
        <w:t xml:space="preserve">more than </w:t>
      </w:r>
      <w:r w:rsidR="000B6DF7" w:rsidRPr="00271908">
        <w:rPr>
          <w:lang w:eastAsia="en-AU"/>
        </w:rPr>
        <w:t xml:space="preserve">82% of the samples surveyed had TFA </w:t>
      </w:r>
      <w:r w:rsidR="000B6DF7">
        <w:rPr>
          <w:lang w:eastAsia="en-AU"/>
        </w:rPr>
        <w:t>levels less than or equal to</w:t>
      </w:r>
      <w:r w:rsidR="000B6DF7" w:rsidRPr="00271908">
        <w:rPr>
          <w:lang w:eastAsia="en-AU"/>
        </w:rPr>
        <w:t xml:space="preserve"> 2% </w:t>
      </w:r>
      <w:r w:rsidR="000B6DF7">
        <w:rPr>
          <w:lang w:eastAsia="en-AU"/>
        </w:rPr>
        <w:t xml:space="preserve">fat </w:t>
      </w:r>
      <w:r w:rsidR="000B6DF7" w:rsidRPr="00271908">
        <w:rPr>
          <w:lang w:eastAsia="en-AU"/>
        </w:rPr>
        <w:t>(NSW FA 2009).</w:t>
      </w:r>
      <w:r w:rsidR="000B6DF7">
        <w:rPr>
          <w:lang w:eastAsia="en-AU"/>
        </w:rPr>
        <w:t xml:space="preserve"> </w:t>
      </w:r>
    </w:p>
    <w:p w:rsidR="005F2253" w:rsidRDefault="005F2253" w:rsidP="000B6DF7">
      <w:pPr>
        <w:rPr>
          <w:lang w:eastAsia="en-AU"/>
        </w:rPr>
      </w:pPr>
    </w:p>
    <w:p w:rsidR="00451A07" w:rsidRDefault="00BA6065" w:rsidP="000B6DF7">
      <w:pPr>
        <w:rPr>
          <w:lang w:eastAsia="en-AU"/>
        </w:rPr>
      </w:pPr>
      <w:r>
        <w:rPr>
          <w:lang w:eastAsia="en-AU"/>
        </w:rPr>
        <w:t xml:space="preserve">It is </w:t>
      </w:r>
      <w:r w:rsidR="00F07D0C">
        <w:rPr>
          <w:lang w:eastAsia="en-AU"/>
        </w:rPr>
        <w:t xml:space="preserve">noted that this estimation is made on the assumption that these product categories may contain a significant proportion of ruminant TFA, and that the analytical method </w:t>
      </w:r>
      <w:r w:rsidR="00A91CFF">
        <w:rPr>
          <w:lang w:eastAsia="en-AU"/>
        </w:rPr>
        <w:t>cannot distinguish between naturally occurring and manufactured TFAs.</w:t>
      </w:r>
      <w:r w:rsidR="00F5623B">
        <w:rPr>
          <w:lang w:eastAsia="en-AU"/>
        </w:rPr>
        <w:t xml:space="preserve"> </w:t>
      </w:r>
      <w:r w:rsidR="00451A07">
        <w:rPr>
          <w:lang w:eastAsia="en-AU"/>
        </w:rPr>
        <w:t>The approach is consistent with the 2008-09 methodology which excluded these product categories on the basis that they are likely to contain ruminant TFAs in ingredients including meat, cheese and milk. An analysis of the ingredient labels was not carried out</w:t>
      </w:r>
      <w:r w:rsidR="002C1CF2">
        <w:rPr>
          <w:lang w:eastAsia="en-AU"/>
        </w:rPr>
        <w:t>,</w:t>
      </w:r>
      <w:r w:rsidR="00451A07">
        <w:rPr>
          <w:lang w:eastAsia="en-AU"/>
        </w:rPr>
        <w:t xml:space="preserve"> because this information was not available for all samples within the omitted product categories. </w:t>
      </w:r>
    </w:p>
    <w:p w:rsidR="00E11A9D" w:rsidRPr="00B427A2" w:rsidRDefault="00E11A9D" w:rsidP="000B6DF7">
      <w:pPr>
        <w:rPr>
          <w:lang w:eastAsia="en-AU"/>
        </w:rPr>
      </w:pPr>
    </w:p>
    <w:p w:rsidR="000B6DF7" w:rsidRPr="00641CB6" w:rsidRDefault="000B6DF7" w:rsidP="00DF5914">
      <w:pPr>
        <w:spacing w:before="240" w:after="240"/>
        <w:ind w:left="1134" w:hanging="1134"/>
      </w:pPr>
      <w:r w:rsidRPr="00DF5914">
        <w:rPr>
          <w:b/>
        </w:rPr>
        <w:lastRenderedPageBreak/>
        <w:t>Table 4</w:t>
      </w:r>
      <w:r w:rsidR="00DF5914">
        <w:rPr>
          <w:b/>
        </w:rPr>
        <w:tab/>
      </w:r>
      <w:r w:rsidRPr="00641CB6">
        <w:t xml:space="preserve">Number of </w:t>
      </w:r>
      <w:r>
        <w:t xml:space="preserve">individual </w:t>
      </w:r>
      <w:r w:rsidRPr="00641CB6">
        <w:t>samples containing TFA</w:t>
      </w:r>
      <w:r w:rsidR="0042262B">
        <w:t>s</w:t>
      </w:r>
      <w:r w:rsidRPr="00641CB6">
        <w:t xml:space="preserve"> at concentrations exceeding 2 </w:t>
      </w:r>
      <w:r w:rsidR="00DF5914">
        <w:t>g/</w:t>
      </w:r>
      <w:r>
        <w:t xml:space="preserve">100 g </w:t>
      </w:r>
      <w:r w:rsidRPr="00641CB6">
        <w:t>of</w:t>
      </w:r>
      <w:r>
        <w:t xml:space="preserve"> oil or</w:t>
      </w:r>
      <w:r w:rsidRPr="00641CB6">
        <w:t xml:space="preserve"> fat</w:t>
      </w:r>
    </w:p>
    <w:tbl>
      <w:tblPr>
        <w:tblStyle w:val="LightList"/>
        <w:tblW w:w="8837" w:type="dxa"/>
        <w:tblLook w:val="04A0" w:firstRow="1" w:lastRow="0" w:firstColumn="1" w:lastColumn="0" w:noHBand="0" w:noVBand="1"/>
      </w:tblPr>
      <w:tblGrid>
        <w:gridCol w:w="4648"/>
        <w:gridCol w:w="4189"/>
      </w:tblGrid>
      <w:tr w:rsidR="00DF5914" w:rsidRPr="008A303D" w:rsidTr="00A02D6E">
        <w:trPr>
          <w:cnfStyle w:val="100000000000" w:firstRow="1" w:lastRow="0" w:firstColumn="0" w:lastColumn="0" w:oddVBand="0" w:evenVBand="0" w:oddHBand="0" w:evenHBand="0" w:firstRowFirstColumn="0" w:firstRowLastColumn="0" w:lastRowFirstColumn="0" w:lastRowLastColumn="0"/>
          <w:cantSplit/>
          <w:trHeight w:val="321"/>
          <w:tblHeader/>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A02D6E">
            <w:pPr>
              <w:rPr>
                <w:rFonts w:eastAsia="Times New Roman"/>
                <w:b w:val="0"/>
                <w:bCs w:val="0"/>
                <w:sz w:val="18"/>
                <w:szCs w:val="18"/>
                <w:lang w:eastAsia="en-GB"/>
              </w:rPr>
            </w:pPr>
            <w:r w:rsidRPr="00DF5914">
              <w:rPr>
                <w:rFonts w:eastAsia="Times New Roman"/>
                <w:sz w:val="18"/>
                <w:szCs w:val="18"/>
                <w:lang w:eastAsia="en-GB"/>
              </w:rPr>
              <w:t>Food ID</w:t>
            </w:r>
          </w:p>
        </w:tc>
        <w:tc>
          <w:tcPr>
            <w:tcW w:w="4189" w:type="dxa"/>
            <w:noWrap/>
            <w:hideMark/>
          </w:tcPr>
          <w:p w:rsidR="00DF5914" w:rsidRPr="00DF5914" w:rsidRDefault="0042262B" w:rsidP="00A02D6E">
            <w:pP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eastAsia="en-GB"/>
              </w:rPr>
            </w:pPr>
            <w:r>
              <w:rPr>
                <w:rFonts w:eastAsia="Times New Roman"/>
                <w:sz w:val="18"/>
                <w:szCs w:val="18"/>
                <w:lang w:eastAsia="en-GB"/>
              </w:rPr>
              <w:t>No. of samples above 2 g/</w:t>
            </w:r>
            <w:r w:rsidR="00DF5914" w:rsidRPr="00DF5914">
              <w:rPr>
                <w:rFonts w:eastAsia="Times New Roman"/>
                <w:sz w:val="18"/>
                <w:szCs w:val="18"/>
                <w:lang w:eastAsia="en-GB"/>
              </w:rPr>
              <w:t>100 g of fat</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Falafel</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1</w:t>
            </w:r>
            <w:r w:rsidR="006445A5">
              <w:rPr>
                <w:rFonts w:eastAsia="Times New Roman"/>
                <w:color w:val="000000"/>
                <w:sz w:val="18"/>
                <w:szCs w:val="18"/>
                <w:lang w:eastAsia="en-GB"/>
              </w:rPr>
              <w:t xml:space="preserve"> (9)</w:t>
            </w:r>
          </w:p>
        </w:tc>
      </w:tr>
      <w:tr w:rsidR="00DF5914" w:rsidRPr="008A303D" w:rsidTr="00A02D6E">
        <w:trPr>
          <w:trHeight w:val="155"/>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Chicken Products</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1</w:t>
            </w:r>
            <w:r w:rsidR="006445A5">
              <w:rPr>
                <w:rFonts w:eastAsia="Times New Roman"/>
                <w:color w:val="000000"/>
                <w:sz w:val="18"/>
                <w:szCs w:val="18"/>
                <w:lang w:eastAsia="en-GB"/>
              </w:rPr>
              <w:t xml:space="preserve"> (21)</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Sweet Muffins &amp; Banana Bread</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1</w:t>
            </w:r>
            <w:r w:rsidR="006445A5">
              <w:rPr>
                <w:rFonts w:eastAsia="Times New Roman"/>
                <w:color w:val="000000"/>
                <w:sz w:val="18"/>
                <w:szCs w:val="18"/>
                <w:lang w:eastAsia="en-GB"/>
              </w:rPr>
              <w:t xml:space="preserve"> (13)</w:t>
            </w:r>
          </w:p>
        </w:tc>
      </w:tr>
      <w:tr w:rsidR="00DF5914" w:rsidRPr="008A303D" w:rsidTr="00A02D6E">
        <w:trPr>
          <w:trHeight w:val="192"/>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Sauces</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1</w:t>
            </w:r>
            <w:r w:rsidR="006445A5">
              <w:rPr>
                <w:rFonts w:eastAsia="Times New Roman"/>
                <w:color w:val="000000"/>
                <w:sz w:val="18"/>
                <w:szCs w:val="18"/>
                <w:lang w:eastAsia="en-GB"/>
              </w:rPr>
              <w:t xml:space="preserve"> (8)</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Extruded Snacks</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1</w:t>
            </w:r>
            <w:r w:rsidR="006445A5">
              <w:rPr>
                <w:rFonts w:eastAsia="Times New Roman"/>
                <w:color w:val="000000"/>
                <w:sz w:val="18"/>
                <w:szCs w:val="18"/>
                <w:lang w:eastAsia="en-GB"/>
              </w:rPr>
              <w:t xml:space="preserve"> (13)</w:t>
            </w:r>
          </w:p>
        </w:tc>
      </w:tr>
      <w:tr w:rsidR="00DF5914" w:rsidRPr="008A303D" w:rsidTr="00A02D6E">
        <w:trPr>
          <w:trHeight w:val="228"/>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Savoury Biscuits- Standard</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1</w:t>
            </w:r>
            <w:r w:rsidR="006445A5">
              <w:rPr>
                <w:rFonts w:eastAsia="Times New Roman"/>
                <w:color w:val="000000"/>
                <w:sz w:val="18"/>
                <w:szCs w:val="18"/>
                <w:lang w:eastAsia="en-GB"/>
              </w:rPr>
              <w:t xml:space="preserve"> (13)</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Hot Chips/Potato Products</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2</w:t>
            </w:r>
            <w:r w:rsidR="006445A5">
              <w:rPr>
                <w:rFonts w:eastAsia="Times New Roman"/>
                <w:color w:val="000000"/>
                <w:sz w:val="18"/>
                <w:szCs w:val="18"/>
                <w:lang w:eastAsia="en-GB"/>
              </w:rPr>
              <w:t xml:space="preserve"> (23)</w:t>
            </w:r>
          </w:p>
        </w:tc>
      </w:tr>
      <w:tr w:rsidR="00DF5914" w:rsidRPr="008A303D" w:rsidTr="00A02D6E">
        <w:trPr>
          <w:trHeight w:val="234"/>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Spring Rolls</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2</w:t>
            </w:r>
            <w:r w:rsidR="006445A5">
              <w:rPr>
                <w:rFonts w:eastAsia="Times New Roman"/>
                <w:color w:val="000000"/>
                <w:sz w:val="18"/>
                <w:szCs w:val="18"/>
                <w:lang w:eastAsia="en-GB"/>
              </w:rPr>
              <w:t xml:space="preserve"> (9)</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Popcorn</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3</w:t>
            </w:r>
            <w:r w:rsidR="006445A5">
              <w:rPr>
                <w:rFonts w:eastAsia="Times New Roman"/>
                <w:color w:val="000000"/>
                <w:sz w:val="18"/>
                <w:szCs w:val="18"/>
                <w:lang w:eastAsia="en-GB"/>
              </w:rPr>
              <w:t xml:space="preserve"> (11)</w:t>
            </w:r>
          </w:p>
        </w:tc>
      </w:tr>
      <w:tr w:rsidR="00DF5914" w:rsidRPr="008A303D" w:rsidTr="00A02D6E">
        <w:trPr>
          <w:trHeight w:val="256"/>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Dips</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3</w:t>
            </w:r>
            <w:r w:rsidR="006445A5">
              <w:rPr>
                <w:rFonts w:eastAsia="Times New Roman"/>
                <w:color w:val="000000"/>
                <w:sz w:val="18"/>
                <w:szCs w:val="18"/>
                <w:lang w:eastAsia="en-GB"/>
              </w:rPr>
              <w:t xml:space="preserve"> (8)</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Cream Biscuits</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3</w:t>
            </w:r>
            <w:r w:rsidR="006445A5">
              <w:rPr>
                <w:rFonts w:eastAsia="Times New Roman"/>
                <w:color w:val="000000"/>
                <w:sz w:val="18"/>
                <w:szCs w:val="18"/>
                <w:lang w:eastAsia="en-GB"/>
              </w:rPr>
              <w:t xml:space="preserve"> </w:t>
            </w:r>
            <w:r w:rsidR="002C4DFE">
              <w:rPr>
                <w:rFonts w:eastAsia="Times New Roman"/>
                <w:color w:val="000000"/>
                <w:sz w:val="18"/>
                <w:szCs w:val="18"/>
                <w:lang w:eastAsia="en-GB"/>
              </w:rPr>
              <w:t>(13)</w:t>
            </w:r>
          </w:p>
        </w:tc>
      </w:tr>
      <w:tr w:rsidR="00DF5914" w:rsidRPr="008A303D" w:rsidTr="00A02D6E">
        <w:trPr>
          <w:trHeight w:val="246"/>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Scones</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3</w:t>
            </w:r>
            <w:r w:rsidR="002C4DFE">
              <w:rPr>
                <w:rFonts w:eastAsia="Times New Roman"/>
                <w:color w:val="000000"/>
                <w:sz w:val="18"/>
                <w:szCs w:val="18"/>
                <w:lang w:eastAsia="en-GB"/>
              </w:rPr>
              <w:t xml:space="preserve"> (8)</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Edible Oil Spreads</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3</w:t>
            </w:r>
            <w:r w:rsidR="002C4DFE">
              <w:rPr>
                <w:rFonts w:eastAsia="Times New Roman"/>
                <w:color w:val="000000"/>
                <w:sz w:val="18"/>
                <w:szCs w:val="18"/>
                <w:lang w:eastAsia="en-GB"/>
              </w:rPr>
              <w:t xml:space="preserve"> (18)</w:t>
            </w:r>
          </w:p>
        </w:tc>
      </w:tr>
      <w:tr w:rsidR="00DF5914" w:rsidRPr="008A303D" w:rsidTr="00A02D6E">
        <w:trPr>
          <w:trHeight w:val="254"/>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Dry Mix Pasta</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4</w:t>
            </w:r>
            <w:r w:rsidR="002C4DFE">
              <w:rPr>
                <w:rFonts w:eastAsia="Times New Roman"/>
                <w:color w:val="000000"/>
                <w:sz w:val="18"/>
                <w:szCs w:val="18"/>
                <w:lang w:eastAsia="en-GB"/>
              </w:rPr>
              <w:t xml:space="preserve"> (8)</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Shelf Stable Cakes - No Cream</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4</w:t>
            </w:r>
            <w:r w:rsidR="002C4DFE">
              <w:rPr>
                <w:rFonts w:eastAsia="Times New Roman"/>
                <w:color w:val="000000"/>
                <w:sz w:val="18"/>
                <w:szCs w:val="18"/>
                <w:lang w:eastAsia="en-GB"/>
              </w:rPr>
              <w:t xml:space="preserve"> (12)</w:t>
            </w:r>
          </w:p>
        </w:tc>
      </w:tr>
      <w:tr w:rsidR="00DF5914" w:rsidRPr="008A303D" w:rsidTr="00A02D6E">
        <w:trPr>
          <w:trHeight w:val="243"/>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Crumbed/Battered Fish Fillets</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5</w:t>
            </w:r>
            <w:r w:rsidR="002C4DFE">
              <w:rPr>
                <w:rFonts w:eastAsia="Times New Roman"/>
                <w:color w:val="000000"/>
                <w:sz w:val="18"/>
                <w:szCs w:val="18"/>
                <w:lang w:eastAsia="en-GB"/>
              </w:rPr>
              <w:t xml:space="preserve"> (21)</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Restaurant Style Takeaway Dishes</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5</w:t>
            </w:r>
            <w:r w:rsidR="002C4DFE">
              <w:rPr>
                <w:rFonts w:eastAsia="Times New Roman"/>
                <w:color w:val="000000"/>
                <w:sz w:val="18"/>
                <w:szCs w:val="18"/>
                <w:lang w:eastAsia="en-GB"/>
              </w:rPr>
              <w:t xml:space="preserve"> (17)</w:t>
            </w:r>
          </w:p>
        </w:tc>
      </w:tr>
      <w:tr w:rsidR="00DF5914" w:rsidRPr="008A303D" w:rsidTr="00A02D6E">
        <w:trPr>
          <w:trHeight w:val="99"/>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Donut</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6</w:t>
            </w:r>
            <w:r w:rsidR="002C4DFE">
              <w:rPr>
                <w:rFonts w:eastAsia="Times New Roman"/>
                <w:color w:val="000000"/>
                <w:sz w:val="18"/>
                <w:szCs w:val="18"/>
                <w:lang w:eastAsia="en-GB"/>
              </w:rPr>
              <w:t xml:space="preserve"> (14)</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Custard Baked Goods</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7</w:t>
            </w:r>
            <w:r w:rsidR="002C4DFE">
              <w:rPr>
                <w:rFonts w:eastAsia="Times New Roman"/>
                <w:color w:val="000000"/>
                <w:sz w:val="18"/>
                <w:szCs w:val="18"/>
                <w:lang w:eastAsia="en-GB"/>
              </w:rPr>
              <w:t xml:space="preserve"> (10)</w:t>
            </w:r>
          </w:p>
        </w:tc>
      </w:tr>
      <w:tr w:rsidR="00DF5914" w:rsidRPr="008A303D" w:rsidTr="00A02D6E">
        <w:trPr>
          <w:trHeight w:val="133"/>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Chocolate Chip Biscuits</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8</w:t>
            </w:r>
            <w:r w:rsidR="002C4DFE">
              <w:rPr>
                <w:rFonts w:eastAsia="Times New Roman"/>
                <w:color w:val="000000"/>
                <w:sz w:val="18"/>
                <w:szCs w:val="18"/>
                <w:lang w:eastAsia="en-GB"/>
              </w:rPr>
              <w:t xml:space="preserve"> (19)</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Pizza</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9</w:t>
            </w:r>
            <w:r w:rsidR="002C4DFE">
              <w:rPr>
                <w:rFonts w:eastAsia="Times New Roman"/>
                <w:color w:val="000000"/>
                <w:sz w:val="18"/>
                <w:szCs w:val="18"/>
                <w:lang w:eastAsia="en-GB"/>
              </w:rPr>
              <w:t xml:space="preserve"> (20)</w:t>
            </w:r>
          </w:p>
        </w:tc>
      </w:tr>
      <w:tr w:rsidR="00DF5914" w:rsidRPr="008A303D" w:rsidTr="00A02D6E">
        <w:trPr>
          <w:trHeight w:val="171"/>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Desserts</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10</w:t>
            </w:r>
            <w:r w:rsidR="002C4DFE">
              <w:rPr>
                <w:rFonts w:eastAsia="Times New Roman"/>
                <w:color w:val="000000"/>
                <w:sz w:val="18"/>
                <w:szCs w:val="18"/>
                <w:lang w:eastAsia="en-GB"/>
              </w:rPr>
              <w:t xml:space="preserve"> (16)</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Croissant</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10</w:t>
            </w:r>
            <w:r w:rsidR="002C4DFE">
              <w:rPr>
                <w:rFonts w:eastAsia="Times New Roman"/>
                <w:color w:val="000000"/>
                <w:sz w:val="18"/>
                <w:szCs w:val="18"/>
                <w:lang w:eastAsia="en-GB"/>
              </w:rPr>
              <w:t xml:space="preserve"> (10)</w:t>
            </w:r>
          </w:p>
        </w:tc>
      </w:tr>
      <w:tr w:rsidR="00DF5914" w:rsidRPr="008A303D" w:rsidTr="00A02D6E">
        <w:trPr>
          <w:trHeight w:val="193"/>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Prepared Pastry</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11</w:t>
            </w:r>
            <w:r w:rsidR="002C4DFE">
              <w:rPr>
                <w:rFonts w:eastAsia="Times New Roman"/>
                <w:color w:val="000000"/>
                <w:sz w:val="18"/>
                <w:szCs w:val="18"/>
                <w:lang w:eastAsia="en-GB"/>
              </w:rPr>
              <w:t xml:space="preserve"> (13)</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Meat Pies</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11</w:t>
            </w:r>
            <w:r w:rsidR="002C4DFE">
              <w:rPr>
                <w:rFonts w:eastAsia="Times New Roman"/>
                <w:color w:val="000000"/>
                <w:sz w:val="18"/>
                <w:szCs w:val="18"/>
                <w:lang w:eastAsia="en-GB"/>
              </w:rPr>
              <w:t xml:space="preserve"> (12)</w:t>
            </w:r>
          </w:p>
        </w:tc>
      </w:tr>
      <w:tr w:rsidR="00DF5914" w:rsidRPr="008A303D" w:rsidTr="00A02D6E">
        <w:trPr>
          <w:trHeight w:val="229"/>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DF5914">
            <w:pPr>
              <w:ind w:firstLineChars="100" w:firstLine="180"/>
              <w:rPr>
                <w:rFonts w:eastAsia="Times New Roman"/>
                <w:b w:val="0"/>
                <w:color w:val="000000"/>
                <w:sz w:val="18"/>
                <w:szCs w:val="18"/>
                <w:lang w:eastAsia="en-GB"/>
              </w:rPr>
            </w:pPr>
            <w:r w:rsidRPr="00DF5914">
              <w:rPr>
                <w:rFonts w:eastAsia="Times New Roman"/>
                <w:b w:val="0"/>
                <w:color w:val="000000"/>
                <w:sz w:val="18"/>
                <w:szCs w:val="18"/>
                <w:lang w:eastAsia="en-GB"/>
              </w:rPr>
              <w:t>Sausage Rolls</w:t>
            </w:r>
          </w:p>
        </w:tc>
        <w:tc>
          <w:tcPr>
            <w:tcW w:w="4189" w:type="dxa"/>
            <w:noWrap/>
            <w:hideMark/>
          </w:tcPr>
          <w:p w:rsidR="00DF5914" w:rsidRPr="00DF5914" w:rsidRDefault="00DF5914"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DF5914">
              <w:rPr>
                <w:rFonts w:eastAsia="Times New Roman"/>
                <w:color w:val="000000"/>
                <w:sz w:val="18"/>
                <w:szCs w:val="18"/>
                <w:lang w:eastAsia="en-GB"/>
              </w:rPr>
              <w:t>12</w:t>
            </w:r>
            <w:r w:rsidR="002C4DFE">
              <w:rPr>
                <w:rFonts w:eastAsia="Times New Roman"/>
                <w:color w:val="000000"/>
                <w:sz w:val="18"/>
                <w:szCs w:val="18"/>
                <w:lang w:eastAsia="en-GB"/>
              </w:rPr>
              <w:t xml:space="preserve"> (14)</w:t>
            </w:r>
          </w:p>
        </w:tc>
      </w:tr>
      <w:tr w:rsidR="00DF5914" w:rsidRPr="008A303D" w:rsidTr="00A02D6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648" w:type="dxa"/>
            <w:noWrap/>
            <w:hideMark/>
          </w:tcPr>
          <w:p w:rsidR="00DF5914" w:rsidRPr="00DF5914" w:rsidRDefault="00DF5914" w:rsidP="00A02D6E">
            <w:pPr>
              <w:jc w:val="right"/>
              <w:rPr>
                <w:rFonts w:eastAsia="Times New Roman"/>
                <w:b w:val="0"/>
                <w:bCs w:val="0"/>
                <w:color w:val="000000"/>
                <w:sz w:val="18"/>
                <w:szCs w:val="18"/>
                <w:lang w:eastAsia="en-GB"/>
              </w:rPr>
            </w:pPr>
            <w:r w:rsidRPr="00DF5914">
              <w:rPr>
                <w:rFonts w:eastAsia="Times New Roman"/>
                <w:color w:val="000000"/>
                <w:sz w:val="18"/>
                <w:szCs w:val="18"/>
                <w:lang w:eastAsia="en-GB"/>
              </w:rPr>
              <w:t>Total</w:t>
            </w:r>
          </w:p>
        </w:tc>
        <w:tc>
          <w:tcPr>
            <w:tcW w:w="4189" w:type="dxa"/>
            <w:noWrap/>
            <w:hideMark/>
          </w:tcPr>
          <w:p w:rsidR="00DF5914" w:rsidRPr="00DF5914" w:rsidRDefault="00DF5914"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n-GB"/>
              </w:rPr>
            </w:pPr>
            <w:r w:rsidRPr="00DF5914">
              <w:rPr>
                <w:rFonts w:eastAsia="Times New Roman"/>
                <w:b/>
                <w:bCs/>
                <w:color w:val="000000"/>
                <w:sz w:val="18"/>
                <w:szCs w:val="18"/>
                <w:lang w:eastAsia="en-GB"/>
              </w:rPr>
              <w:t>127</w:t>
            </w:r>
          </w:p>
        </w:tc>
      </w:tr>
    </w:tbl>
    <w:p w:rsidR="002C4DFE" w:rsidRPr="002C4DFE" w:rsidRDefault="00B90877" w:rsidP="000B6DF7">
      <w:pPr>
        <w:pStyle w:val="Heading1"/>
        <w:rPr>
          <w:b w:val="0"/>
          <w:sz w:val="22"/>
          <w:szCs w:val="22"/>
          <w:lang w:eastAsia="en-GB"/>
        </w:rPr>
      </w:pPr>
      <w:bookmarkStart w:id="38" w:name="_Toc387832034"/>
      <w:bookmarkStart w:id="39" w:name="_Toc389652014"/>
      <w:r>
        <w:rPr>
          <w:b w:val="0"/>
          <w:sz w:val="22"/>
          <w:szCs w:val="22"/>
          <w:lang w:eastAsia="en-GB"/>
        </w:rPr>
        <w:t>() values in parenthese</w:t>
      </w:r>
      <w:r w:rsidR="002C4DFE" w:rsidRPr="002C4DFE">
        <w:rPr>
          <w:b w:val="0"/>
          <w:sz w:val="22"/>
          <w:szCs w:val="22"/>
          <w:lang w:eastAsia="en-GB"/>
        </w:rPr>
        <w:t xml:space="preserve">s represent total number of products tested in that </w:t>
      </w:r>
      <w:r w:rsidR="002C4DFE">
        <w:rPr>
          <w:b w:val="0"/>
          <w:sz w:val="22"/>
          <w:szCs w:val="22"/>
          <w:lang w:eastAsia="en-GB"/>
        </w:rPr>
        <w:t xml:space="preserve">product </w:t>
      </w:r>
      <w:r w:rsidR="002C4DFE" w:rsidRPr="002C4DFE">
        <w:rPr>
          <w:b w:val="0"/>
          <w:sz w:val="22"/>
          <w:szCs w:val="22"/>
          <w:lang w:eastAsia="en-GB"/>
        </w:rPr>
        <w:t>category</w:t>
      </w:r>
    </w:p>
    <w:p w:rsidR="000B6DF7" w:rsidRDefault="000540F2" w:rsidP="000B6DF7">
      <w:pPr>
        <w:pStyle w:val="Heading1"/>
        <w:rPr>
          <w:lang w:eastAsia="en-GB"/>
        </w:rPr>
      </w:pPr>
      <w:r>
        <w:rPr>
          <w:lang w:eastAsia="en-GB"/>
        </w:rPr>
        <w:t>10</w:t>
      </w:r>
      <w:r>
        <w:rPr>
          <w:lang w:eastAsia="en-GB"/>
        </w:rPr>
        <w:tab/>
      </w:r>
      <w:r w:rsidR="000B6DF7">
        <w:rPr>
          <w:lang w:eastAsia="en-GB"/>
        </w:rPr>
        <w:t>Saturated fatty acids</w:t>
      </w:r>
      <w:bookmarkEnd w:id="38"/>
      <w:bookmarkEnd w:id="39"/>
    </w:p>
    <w:p w:rsidR="000B6DF7" w:rsidRDefault="000B6DF7" w:rsidP="000B6DF7">
      <w:pPr>
        <w:rPr>
          <w:rFonts w:cs="Arial"/>
          <w:color w:val="000000"/>
          <w:lang w:eastAsia="en-GB"/>
        </w:rPr>
      </w:pPr>
      <w:r w:rsidRPr="00603DE3">
        <w:rPr>
          <w:rFonts w:cs="Arial"/>
          <w:color w:val="000000"/>
          <w:lang w:eastAsia="en-GB"/>
        </w:rPr>
        <w:t>One strategy to reduce manufactured TFA concentrations in foods that could be used by food manufacturers would be to replace fats and oils high in TFA</w:t>
      </w:r>
      <w:r w:rsidR="0042262B">
        <w:rPr>
          <w:rFonts w:cs="Arial"/>
          <w:color w:val="000000"/>
          <w:lang w:eastAsia="en-GB"/>
        </w:rPr>
        <w:t>s</w:t>
      </w:r>
      <w:r w:rsidRPr="00603DE3">
        <w:rPr>
          <w:rFonts w:cs="Arial"/>
          <w:color w:val="000000"/>
          <w:lang w:eastAsia="en-GB"/>
        </w:rPr>
        <w:t xml:space="preserve"> with vegetable fats that are high in </w:t>
      </w:r>
      <w:r>
        <w:rPr>
          <w:rFonts w:cs="Arial"/>
          <w:color w:val="000000"/>
          <w:lang w:eastAsia="en-GB"/>
        </w:rPr>
        <w:t>SFA</w:t>
      </w:r>
      <w:r w:rsidR="0042262B">
        <w:rPr>
          <w:rFonts w:cs="Arial"/>
          <w:color w:val="000000"/>
          <w:lang w:eastAsia="en-GB"/>
        </w:rPr>
        <w:t>s</w:t>
      </w:r>
      <w:r w:rsidRPr="00603DE3">
        <w:rPr>
          <w:rFonts w:cs="Arial"/>
          <w:color w:val="000000"/>
          <w:lang w:eastAsia="en-GB"/>
        </w:rPr>
        <w:t>. As SFA intakes i</w:t>
      </w:r>
      <w:r>
        <w:rPr>
          <w:rFonts w:cs="Arial"/>
          <w:color w:val="000000"/>
          <w:lang w:eastAsia="en-GB"/>
        </w:rPr>
        <w:t xml:space="preserve">n Australia and New Zealand are </w:t>
      </w:r>
      <w:r w:rsidRPr="00603DE3">
        <w:rPr>
          <w:rFonts w:cs="Arial"/>
          <w:color w:val="000000"/>
          <w:lang w:eastAsia="en-GB"/>
        </w:rPr>
        <w:t>already higher than recommended, this would not be desirable</w:t>
      </w:r>
      <w:r>
        <w:rPr>
          <w:rFonts w:cs="Arial"/>
          <w:color w:val="000000"/>
          <w:lang w:eastAsia="en-GB"/>
        </w:rPr>
        <w:t>.</w:t>
      </w:r>
    </w:p>
    <w:p w:rsidR="000B6DF7" w:rsidRDefault="000B6DF7" w:rsidP="000B6DF7">
      <w:pPr>
        <w:rPr>
          <w:rFonts w:cs="Arial"/>
          <w:color w:val="000000"/>
          <w:lang w:eastAsia="en-GB"/>
        </w:rPr>
      </w:pPr>
    </w:p>
    <w:p w:rsidR="000B6DF7" w:rsidRDefault="000B6DF7" w:rsidP="000B6DF7">
      <w:r>
        <w:t>In the current survey, SFA</w:t>
      </w:r>
      <w:r w:rsidR="0042262B">
        <w:t>s</w:t>
      </w:r>
      <w:r>
        <w:t xml:space="preserve"> </w:t>
      </w:r>
      <w:r w:rsidR="0042262B">
        <w:t>were</w:t>
      </w:r>
      <w:r>
        <w:t xml:space="preserve"> detected in all product categories analysed. </w:t>
      </w:r>
      <w:r w:rsidRPr="00A74A3D">
        <w:t>The highest median concentrations of SFA</w:t>
      </w:r>
      <w:r w:rsidR="0042262B">
        <w:t>s</w:t>
      </w:r>
      <w:r w:rsidRPr="00A74A3D">
        <w:t xml:space="preserve"> were found in popcorn (11.1 </w:t>
      </w:r>
      <w:r w:rsidR="0042262B">
        <w:t>g/</w:t>
      </w:r>
      <w:r>
        <w:t xml:space="preserve">100 g food), edible oil spreads </w:t>
      </w:r>
      <w:r w:rsidR="0042262B">
        <w:t>(15.7 g/</w:t>
      </w:r>
      <w:r>
        <w:t>100 g food), vegetable oils (14.</w:t>
      </w:r>
      <w:r w:rsidRPr="00A74A3D">
        <w:t>5</w:t>
      </w:r>
      <w:r w:rsidR="0042262B">
        <w:t xml:space="preserve"> g/</w:t>
      </w:r>
      <w:r>
        <w:t>100 g food), choc chip biscuits (13.0</w:t>
      </w:r>
      <w:r w:rsidRPr="00A74A3D">
        <w:t xml:space="preserve"> </w:t>
      </w:r>
      <w:r w:rsidR="0042262B">
        <w:t>g/</w:t>
      </w:r>
      <w:r>
        <w:t>100 g food</w:t>
      </w:r>
      <w:r w:rsidRPr="00A74A3D">
        <w:t xml:space="preserve">), chocolate coated and </w:t>
      </w:r>
      <w:r>
        <w:t>chocolate filled biscuits (13.8</w:t>
      </w:r>
      <w:r w:rsidRPr="00A74A3D">
        <w:t xml:space="preserve"> </w:t>
      </w:r>
      <w:r w:rsidR="0042262B">
        <w:t>g/</w:t>
      </w:r>
      <w:r>
        <w:t>100 g food</w:t>
      </w:r>
      <w:r w:rsidRPr="00A74A3D">
        <w:t xml:space="preserve">), cream biscuits (13.2 </w:t>
      </w:r>
      <w:r w:rsidR="0042262B">
        <w:t>g/</w:t>
      </w:r>
      <w:r>
        <w:t>100 g food</w:t>
      </w:r>
      <w:r w:rsidRPr="00A74A3D">
        <w:t xml:space="preserve">), croissant (15.6 </w:t>
      </w:r>
      <w:r w:rsidR="0042262B">
        <w:t>g/</w:t>
      </w:r>
      <w:r>
        <w:t>100 g food</w:t>
      </w:r>
      <w:r w:rsidRPr="00A74A3D">
        <w:t xml:space="preserve">), prepared pastry (10.8 </w:t>
      </w:r>
      <w:r w:rsidR="0042262B">
        <w:t>g/</w:t>
      </w:r>
      <w:r>
        <w:t>100 g food</w:t>
      </w:r>
      <w:r w:rsidRPr="00A74A3D">
        <w:t>),</w:t>
      </w:r>
      <w:r>
        <w:t xml:space="preserve"> pot</w:t>
      </w:r>
      <w:r w:rsidR="0042262B">
        <w:t>ato crisps and corn chips (10 g/</w:t>
      </w:r>
      <w:r>
        <w:t xml:space="preserve">100 g food) and </w:t>
      </w:r>
      <w:r w:rsidR="00A10C20">
        <w:t>confectionery</w:t>
      </w:r>
      <w:r>
        <w:t xml:space="preserve"> (19.0</w:t>
      </w:r>
      <w:r w:rsidRPr="00A74A3D">
        <w:t xml:space="preserve"> </w:t>
      </w:r>
      <w:r w:rsidR="0042262B">
        <w:t>g/</w:t>
      </w:r>
      <w:r>
        <w:t>100 g food</w:t>
      </w:r>
      <w:r w:rsidRPr="00A74A3D">
        <w:t xml:space="preserve">). </w:t>
      </w:r>
    </w:p>
    <w:p w:rsidR="000B6DF7" w:rsidRDefault="000B6DF7" w:rsidP="000B6DF7"/>
    <w:p w:rsidR="000B6DF7" w:rsidRDefault="000B6DF7" w:rsidP="000B6DF7">
      <w:r>
        <w:t>The 2013 median SFA concentrations are compared to the median SFA concentrations from 2008</w:t>
      </w:r>
      <w:r w:rsidR="009D361C">
        <w:rPr>
          <w:rFonts w:cs="Arial"/>
        </w:rPr>
        <w:t>‒</w:t>
      </w:r>
      <w:r>
        <w:t xml:space="preserve">09 in Box-and-Whisker plots (Figures </w:t>
      </w:r>
      <w:r w:rsidR="00ED6039">
        <w:t>6, 7, 8</w:t>
      </w:r>
      <w:r>
        <w:t>). Overall, the data indicate that the median SFA concentrations are similar between the two surveys and do not suggest that there has been an increase in SFA concentrations in the analysed product categories between 2008</w:t>
      </w:r>
      <w:r w:rsidR="009D361C">
        <w:rPr>
          <w:rFonts w:cs="Arial"/>
        </w:rPr>
        <w:t>‒</w:t>
      </w:r>
      <w:r>
        <w:t xml:space="preserve">09 and 2013. </w:t>
      </w:r>
    </w:p>
    <w:p w:rsidR="000B6DF7" w:rsidRDefault="000B6DF7" w:rsidP="000B6DF7"/>
    <w:p w:rsidR="000B6DF7" w:rsidRDefault="000B6DF7" w:rsidP="000B6DF7">
      <w:pPr>
        <w:rPr>
          <w:rFonts w:cs="Arial"/>
          <w:color w:val="000000"/>
          <w:lang w:eastAsia="en-GB"/>
        </w:rPr>
      </w:pPr>
      <w:r>
        <w:t xml:space="preserve">This result is generally consistent with the FSANZ 2009 review that </w:t>
      </w:r>
      <w:r w:rsidRPr="00AB5739">
        <w:rPr>
          <w:rFonts w:cs="Arial"/>
          <w:color w:val="000000"/>
          <w:lang w:eastAsia="en-GB"/>
        </w:rPr>
        <w:t xml:space="preserve">assessed </w:t>
      </w:r>
      <w:r>
        <w:rPr>
          <w:rFonts w:cs="Arial"/>
          <w:color w:val="000000"/>
          <w:lang w:eastAsia="en-GB"/>
        </w:rPr>
        <w:t xml:space="preserve">whether any </w:t>
      </w:r>
      <w:r w:rsidRPr="00AB5739">
        <w:rPr>
          <w:rFonts w:cs="Arial"/>
          <w:color w:val="000000"/>
          <w:lang w:eastAsia="en-GB"/>
        </w:rPr>
        <w:t>ch</w:t>
      </w:r>
      <w:r>
        <w:rPr>
          <w:rFonts w:cs="Arial"/>
          <w:color w:val="000000"/>
          <w:lang w:eastAsia="en-GB"/>
        </w:rPr>
        <w:t>anges to industry practices aimed at</w:t>
      </w:r>
      <w:r w:rsidRPr="00AB5739">
        <w:rPr>
          <w:rFonts w:cs="Arial"/>
          <w:color w:val="000000"/>
          <w:lang w:eastAsia="en-GB"/>
        </w:rPr>
        <w:t xml:space="preserve"> reduc</w:t>
      </w:r>
      <w:r>
        <w:rPr>
          <w:rFonts w:cs="Arial"/>
          <w:color w:val="000000"/>
          <w:lang w:eastAsia="en-GB"/>
        </w:rPr>
        <w:t>ing</w:t>
      </w:r>
      <w:r w:rsidRPr="00AB5739">
        <w:rPr>
          <w:rFonts w:cs="Arial"/>
          <w:color w:val="000000"/>
          <w:lang w:eastAsia="en-GB"/>
        </w:rPr>
        <w:t xml:space="preserve"> manufactured TFA intake</w:t>
      </w:r>
      <w:r>
        <w:rPr>
          <w:rFonts w:cs="Arial"/>
          <w:color w:val="000000"/>
          <w:lang w:eastAsia="en-GB"/>
        </w:rPr>
        <w:t>,</w:t>
      </w:r>
      <w:r w:rsidRPr="00AB5739">
        <w:rPr>
          <w:rFonts w:cs="Arial"/>
          <w:color w:val="000000"/>
          <w:lang w:eastAsia="en-GB"/>
        </w:rPr>
        <w:t xml:space="preserve"> have led to </w:t>
      </w:r>
      <w:r>
        <w:rPr>
          <w:rFonts w:cs="Arial"/>
          <w:color w:val="000000"/>
          <w:lang w:eastAsia="en-GB"/>
        </w:rPr>
        <w:t xml:space="preserve">an </w:t>
      </w:r>
      <w:r w:rsidRPr="00AB5739">
        <w:rPr>
          <w:rFonts w:cs="Arial"/>
          <w:color w:val="000000"/>
          <w:lang w:eastAsia="en-GB"/>
        </w:rPr>
        <w:lastRenderedPageBreak/>
        <w:t>increase</w:t>
      </w:r>
      <w:r>
        <w:rPr>
          <w:rFonts w:cs="Arial"/>
          <w:color w:val="000000"/>
          <w:lang w:eastAsia="en-GB"/>
        </w:rPr>
        <w:t>d</w:t>
      </w:r>
      <w:r w:rsidRPr="00AB5739">
        <w:rPr>
          <w:rFonts w:cs="Arial"/>
          <w:color w:val="000000"/>
          <w:lang w:eastAsia="en-GB"/>
        </w:rPr>
        <w:t xml:space="preserve"> SFA intake</w:t>
      </w:r>
      <w:r w:rsidR="00763B60">
        <w:rPr>
          <w:rFonts w:cs="Arial"/>
          <w:color w:val="000000"/>
          <w:lang w:eastAsia="en-GB"/>
        </w:rPr>
        <w:t>.</w:t>
      </w:r>
      <w:r>
        <w:rPr>
          <w:rFonts w:cs="Arial"/>
          <w:color w:val="000000"/>
          <w:lang w:eastAsia="en-GB"/>
        </w:rPr>
        <w:t xml:space="preserve"> The review which analysed </w:t>
      </w:r>
      <w:r w:rsidRPr="00AB5739">
        <w:rPr>
          <w:rFonts w:cs="Arial"/>
          <w:color w:val="000000"/>
          <w:lang w:eastAsia="en-GB"/>
        </w:rPr>
        <w:t>SFA</w:t>
      </w:r>
      <w:r>
        <w:rPr>
          <w:rFonts w:cs="Arial"/>
          <w:color w:val="000000"/>
          <w:lang w:eastAsia="en-GB"/>
        </w:rPr>
        <w:t xml:space="preserve"> dietary</w:t>
      </w:r>
      <w:r w:rsidRPr="00AB5739">
        <w:rPr>
          <w:rFonts w:cs="Arial"/>
          <w:color w:val="000000"/>
          <w:lang w:eastAsia="en-GB"/>
        </w:rPr>
        <w:t xml:space="preserve"> intake</w:t>
      </w:r>
      <w:r>
        <w:rPr>
          <w:rFonts w:cs="Arial"/>
          <w:color w:val="000000"/>
          <w:lang w:eastAsia="en-GB"/>
        </w:rPr>
        <w:t>s for Australians pre and post-</w:t>
      </w:r>
      <w:r w:rsidRPr="00AB5739">
        <w:rPr>
          <w:rFonts w:cs="Arial"/>
          <w:color w:val="000000"/>
          <w:lang w:eastAsia="en-GB"/>
        </w:rPr>
        <w:t>2007</w:t>
      </w:r>
      <w:r>
        <w:rPr>
          <w:rFonts w:cs="Arial"/>
          <w:color w:val="000000"/>
          <w:lang w:eastAsia="en-GB"/>
        </w:rPr>
        <w:t>,</w:t>
      </w:r>
      <w:r w:rsidRPr="00BE51FC">
        <w:rPr>
          <w:rFonts w:cs="Arial"/>
          <w:color w:val="000000"/>
          <w:lang w:eastAsia="en-GB"/>
        </w:rPr>
        <w:t xml:space="preserve"> found that SFA intake had remained largely constant at 30</w:t>
      </w:r>
      <w:r w:rsidR="00627232">
        <w:t>–</w:t>
      </w:r>
      <w:r w:rsidRPr="00BE51FC">
        <w:rPr>
          <w:rFonts w:cs="Arial"/>
          <w:color w:val="000000"/>
          <w:lang w:eastAsia="en-GB"/>
        </w:rPr>
        <w:t xml:space="preserve">32 </w:t>
      </w:r>
      <w:r w:rsidR="0042262B">
        <w:rPr>
          <w:rFonts w:cs="Arial"/>
          <w:color w:val="000000"/>
          <w:lang w:eastAsia="en-GB"/>
        </w:rPr>
        <w:t>g</w:t>
      </w:r>
      <w:r w:rsidR="00AF4CB8">
        <w:rPr>
          <w:rFonts w:cs="Arial"/>
          <w:color w:val="000000"/>
          <w:lang w:eastAsia="en-GB"/>
        </w:rPr>
        <w:t xml:space="preserve"> day</w:t>
      </w:r>
      <w:r w:rsidR="00627232">
        <w:rPr>
          <w:rFonts w:cs="Arial"/>
          <w:color w:val="000000"/>
          <w:lang w:eastAsia="en-GB"/>
        </w:rPr>
        <w:t xml:space="preserve"> for 2</w:t>
      </w:r>
      <w:r w:rsidR="00627232">
        <w:t>–</w:t>
      </w:r>
      <w:r w:rsidRPr="00BE51FC">
        <w:rPr>
          <w:rFonts w:cs="Arial"/>
          <w:color w:val="000000"/>
          <w:lang w:eastAsia="en-GB"/>
        </w:rPr>
        <w:t xml:space="preserve">16 year olds and 29 </w:t>
      </w:r>
      <w:r w:rsidR="0042262B">
        <w:rPr>
          <w:rFonts w:cs="Arial"/>
          <w:color w:val="000000"/>
          <w:lang w:eastAsia="en-GB"/>
        </w:rPr>
        <w:t>g/</w:t>
      </w:r>
      <w:r w:rsidR="00AF4CB8">
        <w:rPr>
          <w:rFonts w:cs="Arial"/>
          <w:color w:val="000000"/>
          <w:lang w:eastAsia="en-GB"/>
        </w:rPr>
        <w:t>day</w:t>
      </w:r>
      <w:r w:rsidRPr="00BE51FC">
        <w:rPr>
          <w:rFonts w:cs="Arial"/>
          <w:color w:val="000000"/>
          <w:lang w:eastAsia="en-GB"/>
        </w:rPr>
        <w:t xml:space="preserve"> for those aged 17 years and abov</w:t>
      </w:r>
      <w:r>
        <w:rPr>
          <w:rFonts w:cs="Arial"/>
          <w:color w:val="000000"/>
          <w:lang w:eastAsia="en-GB"/>
        </w:rPr>
        <w:t>e. This</w:t>
      </w:r>
      <w:r w:rsidRPr="00BE51FC">
        <w:rPr>
          <w:rFonts w:cs="Arial"/>
          <w:color w:val="000000"/>
          <w:lang w:eastAsia="en-GB"/>
        </w:rPr>
        <w:t xml:space="preserve"> indicated that </w:t>
      </w:r>
      <w:r>
        <w:rPr>
          <w:rFonts w:cs="Arial"/>
          <w:color w:val="000000"/>
          <w:lang w:eastAsia="en-GB"/>
        </w:rPr>
        <w:t xml:space="preserve">any </w:t>
      </w:r>
      <w:r w:rsidRPr="00BE51FC">
        <w:rPr>
          <w:rFonts w:cs="Arial"/>
          <w:color w:val="000000"/>
          <w:lang w:eastAsia="en-GB"/>
        </w:rPr>
        <w:t xml:space="preserve">reformulation </w:t>
      </w:r>
      <w:r>
        <w:rPr>
          <w:rFonts w:cs="Arial"/>
          <w:color w:val="000000"/>
          <w:lang w:eastAsia="en-GB"/>
        </w:rPr>
        <w:t xml:space="preserve">that may have occurred </w:t>
      </w:r>
      <w:r w:rsidRPr="00BE51FC">
        <w:rPr>
          <w:rFonts w:cs="Arial"/>
          <w:color w:val="000000"/>
          <w:lang w:eastAsia="en-GB"/>
        </w:rPr>
        <w:t>to reduce TFA levels had not led</w:t>
      </w:r>
      <w:r w:rsidRPr="00AB5739">
        <w:rPr>
          <w:rFonts w:cs="Arial"/>
          <w:color w:val="000000"/>
          <w:lang w:eastAsia="en-GB"/>
        </w:rPr>
        <w:t xml:space="preserve"> to significant changes in SFA intake. </w:t>
      </w:r>
    </w:p>
    <w:p w:rsidR="000B6DF7" w:rsidRDefault="000B6DF7" w:rsidP="000B6DF7">
      <w:pPr>
        <w:rPr>
          <w:rFonts w:cs="Arial"/>
          <w:color w:val="000000"/>
          <w:lang w:eastAsia="en-GB"/>
        </w:rPr>
        <w:sectPr w:rsidR="000B6DF7" w:rsidSect="000B6DF7">
          <w:footerReference w:type="default" r:id="rId26"/>
          <w:footnotePr>
            <w:numRestart w:val="eachSect"/>
          </w:footnotePr>
          <w:pgSz w:w="11906" w:h="16838"/>
          <w:pgMar w:top="1440" w:right="1440" w:bottom="1440" w:left="1440" w:header="709" w:footer="709" w:gutter="0"/>
          <w:cols w:space="708"/>
          <w:docGrid w:linePitch="360"/>
        </w:sectPr>
      </w:pPr>
    </w:p>
    <w:p w:rsidR="000B6DF7" w:rsidRDefault="000B6DF7" w:rsidP="000B6DF7">
      <w:pPr>
        <w:spacing w:before="240"/>
        <w:ind w:right="-32"/>
        <w:jc w:val="center"/>
        <w:rPr>
          <w:b/>
        </w:rPr>
      </w:pPr>
      <w:r>
        <w:rPr>
          <w:noProof/>
          <w:lang w:val="en-NZ" w:eastAsia="en-NZ" w:bidi="ar-SA"/>
        </w:rPr>
        <w:lastRenderedPageBreak/>
        <w:drawing>
          <wp:inline distT="0" distB="0" distL="0" distR="0" wp14:anchorId="600BD7A7" wp14:editId="415D1A27">
            <wp:extent cx="9388549" cy="4784651"/>
            <wp:effectExtent l="0" t="0" r="22225" b="165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B6DF7" w:rsidRDefault="000B6DF7" w:rsidP="000540F2">
      <w:pPr>
        <w:spacing w:before="240"/>
        <w:ind w:left="1134" w:right="-32" w:hanging="1134"/>
        <w:rPr>
          <w:i/>
        </w:rPr>
      </w:pPr>
      <w:r>
        <w:rPr>
          <w:b/>
        </w:rPr>
        <w:t>Figure</w:t>
      </w:r>
      <w:r w:rsidRPr="0030487E">
        <w:rPr>
          <w:b/>
        </w:rPr>
        <w:t xml:space="preserve"> </w:t>
      </w:r>
      <w:r w:rsidR="00ED6039">
        <w:rPr>
          <w:b/>
        </w:rPr>
        <w:t>6</w:t>
      </w:r>
      <w:r w:rsidR="000540F2">
        <w:rPr>
          <w:b/>
        </w:rPr>
        <w:tab/>
      </w:r>
      <w:r>
        <w:rPr>
          <w:rFonts w:eastAsiaTheme="majorEastAsia" w:cs="Arial"/>
          <w:bCs/>
          <w:sz w:val="20"/>
          <w:szCs w:val="20"/>
        </w:rPr>
        <w:t>Box-and-Whisker</w:t>
      </w:r>
      <w:r w:rsidRPr="00BE51FC">
        <w:rPr>
          <w:rFonts w:eastAsiaTheme="majorEastAsia" w:cs="Arial"/>
          <w:bCs/>
          <w:sz w:val="20"/>
          <w:szCs w:val="20"/>
        </w:rPr>
        <w:t xml:space="preserve"> plots showing median</w:t>
      </w:r>
      <w:r w:rsidR="000540F2">
        <w:rPr>
          <w:rFonts w:eastAsiaTheme="majorEastAsia" w:cs="Arial"/>
          <w:bCs/>
          <w:sz w:val="20"/>
          <w:szCs w:val="20"/>
        </w:rPr>
        <w:t>s</w:t>
      </w:r>
      <w:r w:rsidRPr="00BE51FC">
        <w:rPr>
          <w:rFonts w:eastAsiaTheme="majorEastAsia" w:cs="Arial"/>
          <w:bCs/>
          <w:sz w:val="20"/>
          <w:szCs w:val="20"/>
        </w:rPr>
        <w:t>,</w:t>
      </w:r>
      <w:r>
        <w:rPr>
          <w:rFonts w:eastAsiaTheme="majorEastAsia" w:cs="Arial"/>
          <w:bCs/>
          <w:sz w:val="20"/>
          <w:szCs w:val="20"/>
        </w:rPr>
        <w:t xml:space="preserve"> and</w:t>
      </w:r>
      <w:r w:rsidRPr="00BE51FC">
        <w:rPr>
          <w:rFonts w:eastAsiaTheme="majorEastAsia" w:cs="Arial"/>
          <w:bCs/>
          <w:sz w:val="20"/>
          <w:szCs w:val="20"/>
        </w:rPr>
        <w:t xml:space="preserve"> 5</w:t>
      </w:r>
      <w:r w:rsidRPr="00BE51FC">
        <w:rPr>
          <w:rFonts w:eastAsiaTheme="majorEastAsia" w:cs="Arial"/>
          <w:bCs/>
          <w:sz w:val="20"/>
          <w:szCs w:val="20"/>
          <w:vertAlign w:val="superscript"/>
        </w:rPr>
        <w:t>th</w:t>
      </w:r>
      <w:r w:rsidRPr="00BE51FC">
        <w:rPr>
          <w:rFonts w:eastAsiaTheme="majorEastAsia" w:cs="Arial"/>
          <w:bCs/>
          <w:sz w:val="20"/>
          <w:szCs w:val="20"/>
        </w:rPr>
        <w:t xml:space="preserve"> and 95</w:t>
      </w:r>
      <w:r w:rsidRPr="00BE51FC">
        <w:rPr>
          <w:rFonts w:eastAsiaTheme="majorEastAsia" w:cs="Arial"/>
          <w:bCs/>
          <w:sz w:val="20"/>
          <w:szCs w:val="20"/>
          <w:vertAlign w:val="superscript"/>
        </w:rPr>
        <w:t>th</w:t>
      </w:r>
      <w:r w:rsidRPr="00BE51FC">
        <w:rPr>
          <w:rFonts w:eastAsiaTheme="majorEastAsia" w:cs="Arial"/>
          <w:bCs/>
          <w:sz w:val="20"/>
          <w:szCs w:val="20"/>
        </w:rPr>
        <w:t xml:space="preserve"> percentiles for SFA concentrations in analysed product categories from the 2008</w:t>
      </w:r>
      <w:r w:rsidR="009D361C">
        <w:rPr>
          <w:rFonts w:eastAsiaTheme="majorEastAsia" w:cs="Arial"/>
          <w:bCs/>
          <w:sz w:val="20"/>
          <w:szCs w:val="20"/>
        </w:rPr>
        <w:t>‒</w:t>
      </w:r>
      <w:r w:rsidRPr="00BE51FC">
        <w:rPr>
          <w:rFonts w:eastAsiaTheme="majorEastAsia" w:cs="Arial"/>
          <w:bCs/>
          <w:sz w:val="20"/>
          <w:szCs w:val="20"/>
        </w:rPr>
        <w:t>09 and 2013 survey. The lines in the middle of the boxes denote the median values, and the upper and lower boundaries of the boxes show the 5th and 95th percentiles, respectively. The whiskers extend to both the maximum and minimum values</w:t>
      </w:r>
      <w:r>
        <w:rPr>
          <w:rFonts w:eastAsiaTheme="majorEastAsia" w:cs="Arial"/>
          <w:bCs/>
          <w:sz w:val="20"/>
          <w:szCs w:val="20"/>
        </w:rPr>
        <w:t>.</w:t>
      </w:r>
    </w:p>
    <w:p w:rsidR="000B6DF7" w:rsidRDefault="000B6DF7" w:rsidP="000B6DF7">
      <w:pPr>
        <w:jc w:val="center"/>
        <w:rPr>
          <w:b/>
        </w:rPr>
      </w:pPr>
      <w:r>
        <w:rPr>
          <w:noProof/>
          <w:lang w:val="en-NZ" w:eastAsia="en-NZ" w:bidi="ar-SA"/>
        </w:rPr>
        <w:lastRenderedPageBreak/>
        <w:drawing>
          <wp:inline distT="0" distB="0" distL="0" distR="0" wp14:anchorId="2BC12701" wp14:editId="2C022D3A">
            <wp:extent cx="9346019" cy="5050465"/>
            <wp:effectExtent l="0" t="0" r="26670" b="1714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B6DF7" w:rsidRPr="00BE51FC" w:rsidRDefault="00ED6039" w:rsidP="000540F2">
      <w:pPr>
        <w:spacing w:before="240"/>
        <w:ind w:left="1134" w:right="-32" w:hanging="1134"/>
        <w:rPr>
          <w:rFonts w:eastAsiaTheme="majorEastAsia" w:cs="Arial"/>
          <w:b/>
          <w:bCs/>
          <w:sz w:val="20"/>
          <w:szCs w:val="20"/>
        </w:rPr>
      </w:pPr>
      <w:r>
        <w:rPr>
          <w:b/>
        </w:rPr>
        <w:t>Figure 7</w:t>
      </w:r>
      <w:r w:rsidR="000540F2">
        <w:rPr>
          <w:b/>
        </w:rPr>
        <w:tab/>
      </w:r>
      <w:r w:rsidR="000B6DF7">
        <w:rPr>
          <w:rFonts w:eastAsiaTheme="majorEastAsia" w:cs="Arial"/>
          <w:bCs/>
          <w:sz w:val="20"/>
          <w:szCs w:val="20"/>
        </w:rPr>
        <w:t>Box-and-Whisker</w:t>
      </w:r>
      <w:r w:rsidR="000B6DF7" w:rsidRPr="00BE51FC">
        <w:rPr>
          <w:rFonts w:eastAsiaTheme="majorEastAsia" w:cs="Arial"/>
          <w:bCs/>
          <w:sz w:val="20"/>
          <w:szCs w:val="20"/>
        </w:rPr>
        <w:t xml:space="preserve"> plots showing median,</w:t>
      </w:r>
      <w:r w:rsidR="000B6DF7">
        <w:rPr>
          <w:rFonts w:eastAsiaTheme="majorEastAsia" w:cs="Arial"/>
          <w:bCs/>
          <w:sz w:val="20"/>
          <w:szCs w:val="20"/>
        </w:rPr>
        <w:t xml:space="preserve"> and</w:t>
      </w:r>
      <w:r w:rsidR="000B6DF7" w:rsidRPr="00BE51FC">
        <w:rPr>
          <w:rFonts w:eastAsiaTheme="majorEastAsia" w:cs="Arial"/>
          <w:bCs/>
          <w:sz w:val="20"/>
          <w:szCs w:val="20"/>
        </w:rPr>
        <w:t xml:space="preserve"> 5</w:t>
      </w:r>
      <w:r w:rsidR="000B6DF7" w:rsidRPr="00BE51FC">
        <w:rPr>
          <w:rFonts w:eastAsiaTheme="majorEastAsia" w:cs="Arial"/>
          <w:bCs/>
          <w:sz w:val="20"/>
          <w:szCs w:val="20"/>
          <w:vertAlign w:val="superscript"/>
        </w:rPr>
        <w:t>th</w:t>
      </w:r>
      <w:r w:rsidR="000B6DF7" w:rsidRPr="00BE51FC">
        <w:rPr>
          <w:rFonts w:eastAsiaTheme="majorEastAsia" w:cs="Arial"/>
          <w:bCs/>
          <w:sz w:val="20"/>
          <w:szCs w:val="20"/>
        </w:rPr>
        <w:t xml:space="preserve"> and 95</w:t>
      </w:r>
      <w:r w:rsidR="000B6DF7" w:rsidRPr="00BE51FC">
        <w:rPr>
          <w:rFonts w:eastAsiaTheme="majorEastAsia" w:cs="Arial"/>
          <w:bCs/>
          <w:sz w:val="20"/>
          <w:szCs w:val="20"/>
          <w:vertAlign w:val="superscript"/>
        </w:rPr>
        <w:t>th</w:t>
      </w:r>
      <w:r w:rsidR="000B6DF7" w:rsidRPr="00BE51FC">
        <w:rPr>
          <w:rFonts w:eastAsiaTheme="majorEastAsia" w:cs="Arial"/>
          <w:bCs/>
          <w:sz w:val="20"/>
          <w:szCs w:val="20"/>
        </w:rPr>
        <w:t xml:space="preserve"> percentiles for SFA concentrations in analysed product categories from the 2008</w:t>
      </w:r>
      <w:r w:rsidR="009D361C">
        <w:rPr>
          <w:rFonts w:eastAsiaTheme="majorEastAsia" w:cs="Arial"/>
          <w:bCs/>
          <w:sz w:val="20"/>
          <w:szCs w:val="20"/>
        </w:rPr>
        <w:t>‒</w:t>
      </w:r>
      <w:r w:rsidR="000B6DF7" w:rsidRPr="00BE51FC">
        <w:rPr>
          <w:rFonts w:eastAsiaTheme="majorEastAsia" w:cs="Arial"/>
          <w:bCs/>
          <w:sz w:val="20"/>
          <w:szCs w:val="20"/>
        </w:rPr>
        <w:t>09 and 2013 survey. The lines in the middle of the boxes denote the median values, and the upper and lower boundaries of the boxes show the 5th and 95th percentiles, respectively. The whiskers extend to both the maximum and minimum values</w:t>
      </w:r>
      <w:r w:rsidR="000B6DF7">
        <w:rPr>
          <w:rFonts w:eastAsiaTheme="majorEastAsia" w:cs="Arial"/>
          <w:bCs/>
          <w:sz w:val="20"/>
          <w:szCs w:val="20"/>
        </w:rPr>
        <w:t>.</w:t>
      </w:r>
    </w:p>
    <w:p w:rsidR="000B6DF7" w:rsidRDefault="000B6DF7" w:rsidP="000B6DF7">
      <w:pPr>
        <w:spacing w:before="240"/>
        <w:ind w:right="-32"/>
        <w:jc w:val="center"/>
        <w:rPr>
          <w:rFonts w:eastAsiaTheme="majorEastAsia" w:cs="Arial"/>
          <w:b/>
          <w:bCs/>
        </w:rPr>
      </w:pPr>
      <w:r>
        <w:rPr>
          <w:noProof/>
          <w:lang w:val="en-NZ" w:eastAsia="en-NZ" w:bidi="ar-SA"/>
        </w:rPr>
        <w:lastRenderedPageBreak/>
        <w:drawing>
          <wp:inline distT="0" distB="0" distL="0" distR="0" wp14:anchorId="6A8DD812" wp14:editId="5EA707C0">
            <wp:extent cx="9377917" cy="4720856"/>
            <wp:effectExtent l="0" t="0" r="13970" b="2286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B6DF7" w:rsidRDefault="00ED6039" w:rsidP="000540F2">
      <w:pPr>
        <w:ind w:left="1134" w:hanging="1134"/>
        <w:rPr>
          <w:lang w:eastAsia="en-AU"/>
        </w:rPr>
      </w:pPr>
      <w:r>
        <w:rPr>
          <w:b/>
        </w:rPr>
        <w:t>Figure 8</w:t>
      </w:r>
      <w:r w:rsidR="000540F2">
        <w:rPr>
          <w:b/>
        </w:rPr>
        <w:tab/>
      </w:r>
      <w:r w:rsidR="000B6DF7">
        <w:rPr>
          <w:rFonts w:eastAsiaTheme="majorEastAsia" w:cs="Arial"/>
          <w:bCs/>
          <w:sz w:val="20"/>
          <w:szCs w:val="20"/>
        </w:rPr>
        <w:t>Box-and-Whisker</w:t>
      </w:r>
      <w:r w:rsidR="000B6DF7" w:rsidRPr="00BE51FC">
        <w:rPr>
          <w:rFonts w:eastAsiaTheme="majorEastAsia" w:cs="Arial"/>
          <w:bCs/>
          <w:sz w:val="20"/>
          <w:szCs w:val="20"/>
        </w:rPr>
        <w:t xml:space="preserve"> plots showing median, 5</w:t>
      </w:r>
      <w:r w:rsidR="000B6DF7" w:rsidRPr="00BE51FC">
        <w:rPr>
          <w:rFonts w:eastAsiaTheme="majorEastAsia" w:cs="Arial"/>
          <w:bCs/>
          <w:sz w:val="20"/>
          <w:szCs w:val="20"/>
          <w:vertAlign w:val="superscript"/>
        </w:rPr>
        <w:t>th</w:t>
      </w:r>
      <w:r w:rsidR="000B6DF7" w:rsidRPr="00BE51FC">
        <w:rPr>
          <w:rFonts w:eastAsiaTheme="majorEastAsia" w:cs="Arial"/>
          <w:bCs/>
          <w:sz w:val="20"/>
          <w:szCs w:val="20"/>
        </w:rPr>
        <w:t xml:space="preserve"> and 95</w:t>
      </w:r>
      <w:r w:rsidR="000B6DF7" w:rsidRPr="00BE51FC">
        <w:rPr>
          <w:rFonts w:eastAsiaTheme="majorEastAsia" w:cs="Arial"/>
          <w:bCs/>
          <w:sz w:val="20"/>
          <w:szCs w:val="20"/>
          <w:vertAlign w:val="superscript"/>
        </w:rPr>
        <w:t>th</w:t>
      </w:r>
      <w:r w:rsidR="000B6DF7" w:rsidRPr="00BE51FC">
        <w:rPr>
          <w:rFonts w:eastAsiaTheme="majorEastAsia" w:cs="Arial"/>
          <w:bCs/>
          <w:sz w:val="20"/>
          <w:szCs w:val="20"/>
        </w:rPr>
        <w:t xml:space="preserve"> percentiles for SFA concentrations in analysed product categories from the 2008</w:t>
      </w:r>
      <w:r w:rsidR="009D361C">
        <w:rPr>
          <w:rFonts w:eastAsiaTheme="majorEastAsia" w:cs="Arial"/>
          <w:bCs/>
          <w:sz w:val="20"/>
          <w:szCs w:val="20"/>
        </w:rPr>
        <w:t>‒</w:t>
      </w:r>
      <w:r w:rsidR="000B6DF7" w:rsidRPr="00BE51FC">
        <w:rPr>
          <w:rFonts w:eastAsiaTheme="majorEastAsia" w:cs="Arial"/>
          <w:bCs/>
          <w:sz w:val="20"/>
          <w:szCs w:val="20"/>
        </w:rPr>
        <w:t>09 and 2013 survey. The lines in the middle of the boxes denote the median values, and the upper and lower boundaries of the boxes show the 5th and 95th percentiles, respectively. The whiskers extend to both the maximum and minimum values.</w:t>
      </w:r>
      <w:r w:rsidR="000B6DF7">
        <w:rPr>
          <w:rFonts w:eastAsiaTheme="majorEastAsia" w:cs="Arial"/>
          <w:bCs/>
        </w:rPr>
        <w:t xml:space="preserve"> </w:t>
      </w:r>
      <w:r w:rsidR="000B6DF7">
        <w:rPr>
          <w:lang w:eastAsia="en-AU"/>
        </w:rPr>
        <w:br w:type="page"/>
      </w:r>
    </w:p>
    <w:p w:rsidR="000B6DF7" w:rsidRDefault="000B6DF7" w:rsidP="000B6DF7">
      <w:pPr>
        <w:rPr>
          <w:lang w:eastAsia="en-AU"/>
        </w:rPr>
        <w:sectPr w:rsidR="000B6DF7" w:rsidSect="000B6DF7">
          <w:footerReference w:type="default" r:id="rId30"/>
          <w:pgSz w:w="16838" w:h="11906" w:orient="landscape"/>
          <w:pgMar w:top="1418" w:right="1418" w:bottom="1418" w:left="1418" w:header="709" w:footer="709" w:gutter="0"/>
          <w:cols w:space="708"/>
          <w:docGrid w:linePitch="360"/>
        </w:sectPr>
      </w:pPr>
    </w:p>
    <w:p w:rsidR="000B6DF7" w:rsidRPr="00780218" w:rsidRDefault="003866D3" w:rsidP="003866D3">
      <w:pPr>
        <w:pStyle w:val="Heading1"/>
        <w:rPr>
          <w:lang w:eastAsia="en-GB"/>
        </w:rPr>
      </w:pPr>
      <w:bookmarkStart w:id="40" w:name="_Toc387832035"/>
      <w:bookmarkStart w:id="41" w:name="_Toc389652015"/>
      <w:r w:rsidRPr="003866D3">
        <w:lastRenderedPageBreak/>
        <w:t>11</w:t>
      </w:r>
      <w:r>
        <w:tab/>
      </w:r>
      <w:r w:rsidR="000B6DF7" w:rsidRPr="003866D3">
        <w:t>Considerations</w:t>
      </w:r>
      <w:r w:rsidR="000B6DF7">
        <w:rPr>
          <w:lang w:eastAsia="en-GB"/>
        </w:rPr>
        <w:t xml:space="preserve"> relevant to the need for an updated estimated dietary intake assessment</w:t>
      </w:r>
      <w:bookmarkEnd w:id="40"/>
      <w:bookmarkEnd w:id="41"/>
      <w:r w:rsidR="000B6DF7">
        <w:rPr>
          <w:lang w:eastAsia="en-GB"/>
        </w:rPr>
        <w:t xml:space="preserve"> </w:t>
      </w:r>
    </w:p>
    <w:p w:rsidR="000B6DF7" w:rsidRPr="00D65564" w:rsidRDefault="00FE507D" w:rsidP="000B6DF7">
      <w:pPr>
        <w:rPr>
          <w:rFonts w:cs="Arial"/>
          <w:color w:val="000000"/>
          <w:lang w:eastAsia="en-GB"/>
        </w:rPr>
      </w:pPr>
      <w:r>
        <w:rPr>
          <w:rFonts w:cs="Arial"/>
          <w:iCs/>
          <w:lang w:val="en-AU"/>
        </w:rPr>
        <w:t>M</w:t>
      </w:r>
      <w:r w:rsidR="000B6DF7" w:rsidRPr="00D65564">
        <w:rPr>
          <w:rFonts w:cs="Arial"/>
          <w:iCs/>
          <w:lang w:val="en-AU"/>
        </w:rPr>
        <w:t xml:space="preserve">ean TFA intake from both ruminant and manufactured sources in the FSANZ 2009 review was estimated to be 0.5-0.6% of dietary energy, with more than 90% of Australians and more than 85% of New Zealanders having TFA intakes below 1% of </w:t>
      </w:r>
      <w:r w:rsidR="00627232">
        <w:rPr>
          <w:rFonts w:cs="Arial"/>
          <w:iCs/>
          <w:lang w:val="en-AU"/>
        </w:rPr>
        <w:t xml:space="preserve">dietary </w:t>
      </w:r>
      <w:r w:rsidR="000B6DF7" w:rsidRPr="00D65564">
        <w:rPr>
          <w:rFonts w:cs="Arial"/>
          <w:iCs/>
          <w:lang w:val="en-AU"/>
        </w:rPr>
        <w:t xml:space="preserve">energy. </w:t>
      </w:r>
      <w:r w:rsidR="000B6DF7" w:rsidRPr="00D65564">
        <w:rPr>
          <w:rFonts w:cs="Arial"/>
          <w:color w:val="000000"/>
          <w:lang w:eastAsia="en-GB"/>
        </w:rPr>
        <w:t xml:space="preserve">These figures indicated that Australia and New Zealand continue to meet </w:t>
      </w:r>
      <w:r w:rsidR="000B6DF7">
        <w:rPr>
          <w:rFonts w:cs="Arial"/>
          <w:color w:val="000000"/>
          <w:lang w:eastAsia="en-GB"/>
        </w:rPr>
        <w:t>the WHO</w:t>
      </w:r>
      <w:r w:rsidR="000B6DF7" w:rsidRPr="00D65564">
        <w:rPr>
          <w:rFonts w:cs="Arial"/>
          <w:color w:val="000000"/>
          <w:lang w:eastAsia="en-GB"/>
        </w:rPr>
        <w:t xml:space="preserve"> population goal for TFA intake. </w:t>
      </w:r>
    </w:p>
    <w:p w:rsidR="000B6DF7" w:rsidRPr="008B4DFC" w:rsidRDefault="000B6DF7" w:rsidP="000B6DF7">
      <w:pPr>
        <w:rPr>
          <w:rFonts w:cs="Arial"/>
          <w:color w:val="000000"/>
          <w:highlight w:val="green"/>
          <w:lang w:eastAsia="en-GB"/>
        </w:rPr>
      </w:pPr>
    </w:p>
    <w:p w:rsidR="000B6DF7" w:rsidRDefault="000B6DF7" w:rsidP="000B6DF7">
      <w:pPr>
        <w:rPr>
          <w:rFonts w:cs="Arial"/>
          <w:color w:val="000000"/>
          <w:highlight w:val="green"/>
          <w:lang w:eastAsia="en-GB"/>
        </w:rPr>
      </w:pPr>
      <w:r w:rsidRPr="005B4D37">
        <w:rPr>
          <w:rFonts w:cs="Arial"/>
          <w:color w:val="000000"/>
          <w:lang w:eastAsia="en-GB"/>
        </w:rPr>
        <w:t>The 2013 survey results indicate that median TFA concentrations were generally similar across the analysed product categories, with some products showing slight decreases in median values and others showing slight increases. Statistically significant increases in median TFA concentrations were observed only for one product category, chicken nuggets/products.</w:t>
      </w:r>
      <w:r>
        <w:rPr>
          <w:rFonts w:cs="Arial"/>
          <w:color w:val="000000"/>
          <w:lang w:eastAsia="en-GB"/>
        </w:rPr>
        <w:t xml:space="preserve"> This product category was not identified in the FSANZ 2009 review as a major contributor to dietary TFA intake. Similarly, chicken nuggets/products were not identified as contributing disproportionately to TFA dietary intake in high consumers in Australia or New Zealand in 2009. </w:t>
      </w:r>
    </w:p>
    <w:p w:rsidR="000B6DF7" w:rsidRDefault="000B6DF7" w:rsidP="000B6DF7">
      <w:pPr>
        <w:rPr>
          <w:rFonts w:cs="Arial"/>
          <w:color w:val="000000"/>
          <w:highlight w:val="green"/>
          <w:lang w:eastAsia="en-GB"/>
        </w:rPr>
      </w:pPr>
    </w:p>
    <w:p w:rsidR="00A5479A" w:rsidRDefault="00FE507D" w:rsidP="000B6DF7">
      <w:r>
        <w:t>As</w:t>
      </w:r>
      <w:r w:rsidR="000B6DF7">
        <w:t xml:space="preserve"> the analytical results did not </w:t>
      </w:r>
      <w:r w:rsidR="000B6DF7" w:rsidRPr="00960415">
        <w:t>show a</w:t>
      </w:r>
      <w:r w:rsidR="004A3B4D" w:rsidRPr="00960415">
        <w:t xml:space="preserve"> change </w:t>
      </w:r>
      <w:r w:rsidR="000B6DF7" w:rsidRPr="00960415">
        <w:t>in TFA concentrations</w:t>
      </w:r>
      <w:r w:rsidR="000B6DF7">
        <w:t xml:space="preserve"> in Australia or New Zealand, revised dietary exposure modelling</w:t>
      </w:r>
      <w:r w:rsidR="00A5479A">
        <w:t xml:space="preserve"> using the available nutrition surveys</w:t>
      </w:r>
      <w:r w:rsidR="00A10319">
        <w:rPr>
          <w:rStyle w:val="FootnoteReference"/>
        </w:rPr>
        <w:footnoteReference w:id="4"/>
      </w:r>
      <w:r w:rsidR="0070594D">
        <w:t xml:space="preserve"> </w:t>
      </w:r>
      <w:r w:rsidR="000B6DF7">
        <w:t xml:space="preserve">was not conducted. </w:t>
      </w:r>
    </w:p>
    <w:p w:rsidR="00A5479A" w:rsidRDefault="00A5479A" w:rsidP="000B6DF7"/>
    <w:p w:rsidR="00427710" w:rsidRDefault="00A5479A" w:rsidP="000B6DF7">
      <w:r>
        <w:t>On</w:t>
      </w:r>
      <w:r w:rsidR="000B6DF7">
        <w:t xml:space="preserve"> 9 May 2014, the summary results of the 2011</w:t>
      </w:r>
      <w:r w:rsidR="00627232">
        <w:t>–</w:t>
      </w:r>
      <w:r w:rsidR="000B6DF7">
        <w:t>12 National Nutrition and Physical Activity Survey (NNPAS) component of the Australian Health Survey were released. These included new estimates of TFA and energy intake and were based on up to date food consumption data and the TFA concentration data available to FSANZ in 2009. The NNPAS results show that TFA intake remains low</w:t>
      </w:r>
      <w:r w:rsidR="00493067">
        <w:t xml:space="preserve"> and below the WHO recommendation</w:t>
      </w:r>
      <w:r w:rsidR="000B6DF7">
        <w:t xml:space="preserve">, with the mean intake of all Australians 2 </w:t>
      </w:r>
      <w:r w:rsidR="000B6DF7" w:rsidRPr="00057DA2">
        <w:t xml:space="preserve">years and above </w:t>
      </w:r>
      <w:r w:rsidR="00C861B9">
        <w:t>estimated to be</w:t>
      </w:r>
      <w:r w:rsidR="000B6DF7" w:rsidRPr="00057DA2">
        <w:t xml:space="preserve">1.4 </w:t>
      </w:r>
      <w:r w:rsidR="0042262B">
        <w:t>g/</w:t>
      </w:r>
      <w:r w:rsidR="00AF4CB8">
        <w:t>day</w:t>
      </w:r>
      <w:r w:rsidR="00C861B9">
        <w:t>,</w:t>
      </w:r>
      <w:r w:rsidR="000B6DF7" w:rsidRPr="00057DA2">
        <w:t xml:space="preserve"> representing 0.6% of dietary energy. </w:t>
      </w:r>
    </w:p>
    <w:p w:rsidR="00427710" w:rsidRDefault="00427710" w:rsidP="000B6DF7"/>
    <w:p w:rsidR="000B6DF7" w:rsidRPr="00057DA2" w:rsidRDefault="00427710" w:rsidP="000B6DF7">
      <w:r>
        <w:t>In the 2011–12 NNPAS, t</w:t>
      </w:r>
      <w:r w:rsidR="000B6DF7" w:rsidRPr="00057DA2">
        <w:t xml:space="preserve">he dairy and meat </w:t>
      </w:r>
      <w:r w:rsidR="0050138E">
        <w:t>food groups</w:t>
      </w:r>
      <w:r>
        <w:t>,</w:t>
      </w:r>
      <w:r w:rsidR="000B6DF7" w:rsidRPr="00057DA2">
        <w:t xml:space="preserve"> together </w:t>
      </w:r>
      <w:r>
        <w:t>with butter</w:t>
      </w:r>
      <w:r w:rsidR="002B5A72">
        <w:t xml:space="preserve">s and </w:t>
      </w:r>
      <w:r>
        <w:t>dairy blends</w:t>
      </w:r>
      <w:r w:rsidR="00FA7825">
        <w:t xml:space="preserve">, </w:t>
      </w:r>
      <w:r w:rsidR="000B6DF7" w:rsidRPr="00057DA2">
        <w:t>contributed</w:t>
      </w:r>
      <w:r w:rsidR="00BA4AC0">
        <w:t xml:space="preserve"> </w:t>
      </w:r>
      <w:r>
        <w:t>more than</w:t>
      </w:r>
      <w:r w:rsidR="000B6DF7" w:rsidRPr="00057DA2">
        <w:t xml:space="preserve"> half </w:t>
      </w:r>
      <w:r>
        <w:t>the total TFA intake</w:t>
      </w:r>
      <w:r w:rsidR="000B6DF7" w:rsidRPr="00057DA2">
        <w:t xml:space="preserve">, </w:t>
      </w:r>
      <w:r w:rsidR="00AB7A2D">
        <w:t>showing that</w:t>
      </w:r>
      <w:r w:rsidR="00AB7A2D" w:rsidRPr="00057DA2">
        <w:t xml:space="preserve"> </w:t>
      </w:r>
      <w:r w:rsidR="000B6DF7" w:rsidRPr="00057DA2">
        <w:t>ruminant TFA</w:t>
      </w:r>
      <w:r w:rsidR="000C6DD4">
        <w:t>s</w:t>
      </w:r>
      <w:r w:rsidR="000B6DF7" w:rsidRPr="00057DA2">
        <w:t xml:space="preserve"> continue to be </w:t>
      </w:r>
      <w:r w:rsidR="000B6DF7">
        <w:t xml:space="preserve">the </w:t>
      </w:r>
      <w:r w:rsidR="000B6DF7" w:rsidRPr="00057DA2">
        <w:t xml:space="preserve">major source of </w:t>
      </w:r>
      <w:r w:rsidR="00C8206F">
        <w:t>TFA</w:t>
      </w:r>
      <w:r w:rsidR="000B6DF7" w:rsidRPr="00057DA2">
        <w:t xml:space="preserve"> in the Australian diet. </w:t>
      </w:r>
      <w:r w:rsidR="00AB7A2D">
        <w:t xml:space="preserve">This estimate is based on </w:t>
      </w:r>
      <w:r w:rsidR="000C6DD4">
        <w:t>an analysis of food groups</w:t>
      </w:r>
      <w:r w:rsidR="00AB7A2D">
        <w:t xml:space="preserve"> that differs from the analysis undertaken in the FSANZ 2009 survey (60-75% of TFAs came from ruminant TFAs) and therefore </w:t>
      </w:r>
      <w:r w:rsidR="000C6DD4">
        <w:t xml:space="preserve">the two estimates </w:t>
      </w:r>
      <w:r w:rsidR="00AB7A2D">
        <w:t xml:space="preserve">are not directly comparable. </w:t>
      </w:r>
    </w:p>
    <w:p w:rsidR="000B6DF7" w:rsidRPr="00057DA2" w:rsidRDefault="000B6DF7" w:rsidP="000B6DF7">
      <w:pPr>
        <w:rPr>
          <w:rFonts w:cs="Arial"/>
          <w:color w:val="000000"/>
          <w:lang w:eastAsia="en-GB"/>
        </w:rPr>
      </w:pPr>
    </w:p>
    <w:p w:rsidR="00D65247" w:rsidRDefault="00D65247" w:rsidP="000B6DF7">
      <w:pPr>
        <w:rPr>
          <w:rFonts w:cs="Arial"/>
          <w:color w:val="000000"/>
          <w:lang w:eastAsia="en-GB"/>
        </w:rPr>
      </w:pPr>
      <w:r w:rsidRPr="00D65247">
        <w:rPr>
          <w:rFonts w:cs="Arial"/>
          <w:color w:val="000000"/>
          <w:lang w:eastAsia="en-GB"/>
        </w:rPr>
        <w:t>The most recent national nutrition survey for New Zealand adults, the 2008</w:t>
      </w:r>
      <w:r w:rsidR="009D361C">
        <w:rPr>
          <w:rFonts w:cs="Arial"/>
          <w:color w:val="000000"/>
          <w:lang w:eastAsia="en-GB"/>
        </w:rPr>
        <w:t>‒</w:t>
      </w:r>
      <w:r w:rsidRPr="00D65247">
        <w:rPr>
          <w:rFonts w:cs="Arial"/>
          <w:color w:val="000000"/>
          <w:lang w:eastAsia="en-GB"/>
        </w:rPr>
        <w:t>09 Adult Nutrition Survey, also found continuing high intakes of SFAs. The mean contribution of SFAs to daily energy intake was 13.1% for both males and females aged 15 years and above (University of Otago &amp; Ministry of Health 2011). TFA intakes were not determined.</w:t>
      </w:r>
    </w:p>
    <w:p w:rsidR="000B6DF7" w:rsidRDefault="003866D3" w:rsidP="000B6DF7">
      <w:pPr>
        <w:pStyle w:val="Heading1"/>
      </w:pPr>
      <w:bookmarkStart w:id="42" w:name="_Toc387832036"/>
      <w:bookmarkStart w:id="43" w:name="_Toc389652016"/>
      <w:r>
        <w:t>12</w:t>
      </w:r>
      <w:r>
        <w:tab/>
      </w:r>
      <w:r w:rsidR="000B6DF7">
        <w:t>Uncertainty</w:t>
      </w:r>
      <w:bookmarkEnd w:id="42"/>
      <w:bookmarkEnd w:id="43"/>
    </w:p>
    <w:p w:rsidR="000B6DF7" w:rsidRDefault="000B6DF7" w:rsidP="000B6DF7">
      <w:pPr>
        <w:autoSpaceDE w:val="0"/>
        <w:autoSpaceDN w:val="0"/>
        <w:adjustRightInd w:val="0"/>
        <w:rPr>
          <w:rFonts w:cs="Arial"/>
        </w:rPr>
      </w:pPr>
      <w:r w:rsidRPr="00F327F3">
        <w:rPr>
          <w:rFonts w:cs="Arial"/>
        </w:rPr>
        <w:t>There are a number of sources of uncertainty in the analytical data used in this assessment</w:t>
      </w:r>
      <w:r>
        <w:rPr>
          <w:rFonts w:cs="Arial"/>
        </w:rPr>
        <w:t>:</w:t>
      </w:r>
      <w:r w:rsidRPr="00F327F3">
        <w:rPr>
          <w:rFonts w:cs="Arial"/>
        </w:rPr>
        <w:t xml:space="preserve"> </w:t>
      </w:r>
    </w:p>
    <w:p w:rsidR="000B6DF7" w:rsidRPr="00F327F3" w:rsidRDefault="000B6DF7" w:rsidP="000B6DF7">
      <w:pPr>
        <w:autoSpaceDE w:val="0"/>
        <w:autoSpaceDN w:val="0"/>
        <w:adjustRightInd w:val="0"/>
        <w:rPr>
          <w:rFonts w:cs="Arial"/>
        </w:rPr>
      </w:pPr>
    </w:p>
    <w:p w:rsidR="000B6DF7" w:rsidRDefault="000B6DF7" w:rsidP="003866D3">
      <w:pPr>
        <w:pStyle w:val="FSBullet"/>
      </w:pPr>
      <w:r w:rsidRPr="00F327F3">
        <w:t>The analytical techniques used in this survey did not distinguish between the sources of the TFA</w:t>
      </w:r>
      <w:r w:rsidR="0042262B">
        <w:t>s</w:t>
      </w:r>
      <w:r w:rsidRPr="00F327F3">
        <w:t xml:space="preserve"> in a food; and therefore total TFA concentrations for all samples takes into </w:t>
      </w:r>
      <w:r w:rsidRPr="00F327F3">
        <w:lastRenderedPageBreak/>
        <w:t>account both the naturally occurring and manufactured sources of TFA</w:t>
      </w:r>
      <w:r w:rsidR="00627232">
        <w:t>s</w:t>
      </w:r>
      <w:r w:rsidRPr="00F327F3">
        <w:t xml:space="preserve"> that may occur in foods analysed.</w:t>
      </w:r>
      <w:r w:rsidR="005F2253">
        <w:t xml:space="preserve"> </w:t>
      </w:r>
    </w:p>
    <w:p w:rsidR="000B6DF7" w:rsidRPr="00F327F3" w:rsidRDefault="000B6DF7" w:rsidP="003866D3">
      <w:pPr>
        <w:pStyle w:val="FSBullet"/>
        <w:numPr>
          <w:ilvl w:val="0"/>
          <w:numId w:val="0"/>
        </w:numPr>
        <w:ind w:left="567"/>
      </w:pPr>
    </w:p>
    <w:p w:rsidR="000B6DF7" w:rsidRDefault="000B6DF7" w:rsidP="003866D3">
      <w:pPr>
        <w:pStyle w:val="FSBullet"/>
      </w:pPr>
      <w:r w:rsidRPr="00F327F3">
        <w:t>Foods are likely to vary in TFA levels and the samples selected may not have been fully representative of this variation. A limited range of foods has been analysed and therefore it is possible that foods high in TFA</w:t>
      </w:r>
      <w:r w:rsidR="0042262B">
        <w:t>s</w:t>
      </w:r>
      <w:r w:rsidRPr="00F327F3">
        <w:t xml:space="preserve"> may be over- or under-represented. In addition, samples collected were not necessarily the same brands as </w:t>
      </w:r>
      <w:r>
        <w:t>those</w:t>
      </w:r>
      <w:r w:rsidRPr="00F327F3">
        <w:t xml:space="preserve"> sampled in 2008</w:t>
      </w:r>
      <w:r w:rsidR="009D361C">
        <w:t>‒</w:t>
      </w:r>
      <w:r w:rsidRPr="00F327F3">
        <w:t>09</w:t>
      </w:r>
      <w:r>
        <w:t>,</w:t>
      </w:r>
      <w:r w:rsidRPr="00F327F3">
        <w:t xml:space="preserve"> so apparent variation over time may simply reflect brand differences. </w:t>
      </w:r>
    </w:p>
    <w:p w:rsidR="005F2253" w:rsidRPr="005F2253" w:rsidRDefault="005F2253" w:rsidP="005F2253">
      <w:pPr>
        <w:ind w:left="567"/>
      </w:pPr>
    </w:p>
    <w:p w:rsidR="000B6DF7" w:rsidRPr="00F327F3" w:rsidRDefault="000B6DF7" w:rsidP="003866D3">
      <w:pPr>
        <w:pStyle w:val="FSBullet"/>
      </w:pPr>
      <w:r w:rsidRPr="00F327F3">
        <w:t>Laboratories may not have identified and measured all TFA</w:t>
      </w:r>
      <w:r w:rsidR="0042262B">
        <w:t>s</w:t>
      </w:r>
      <w:r w:rsidRPr="00F327F3">
        <w:t xml:space="preserve"> that </w:t>
      </w:r>
      <w:r w:rsidR="0042262B">
        <w:t>were</w:t>
      </w:r>
      <w:r w:rsidRPr="00F327F3">
        <w:t xml:space="preserve"> present in foods. </w:t>
      </w:r>
      <w:r>
        <w:t>In addition, as t</w:t>
      </w:r>
      <w:r w:rsidRPr="00F327F3">
        <w:t>esting methodology ha</w:t>
      </w:r>
      <w:r>
        <w:t>s improved over time,</w:t>
      </w:r>
      <w:r w:rsidRPr="00F327F3">
        <w:t xml:space="preserve"> more TFAs were quanti</w:t>
      </w:r>
      <w:r>
        <w:t>fied in the more recent surveys</w:t>
      </w:r>
      <w:r w:rsidRPr="00F327F3">
        <w:t xml:space="preserve"> </w:t>
      </w:r>
      <w:r>
        <w:t xml:space="preserve">such that </w:t>
      </w:r>
      <w:r w:rsidRPr="00F327F3">
        <w:t>some differences may result from improved analytical methodology.</w:t>
      </w:r>
      <w:r>
        <w:t xml:space="preserve"> This is particularly relevant for TFA</w:t>
      </w:r>
      <w:r w:rsidR="0042262B">
        <w:t>s</w:t>
      </w:r>
      <w:r>
        <w:t xml:space="preserve"> because concentrations in food were generally low. </w:t>
      </w:r>
    </w:p>
    <w:p w:rsidR="000B6DF7" w:rsidRPr="00F327F3" w:rsidRDefault="000B6DF7" w:rsidP="003866D3">
      <w:pPr>
        <w:pStyle w:val="FSBullet"/>
        <w:numPr>
          <w:ilvl w:val="0"/>
          <w:numId w:val="0"/>
        </w:numPr>
        <w:ind w:left="567"/>
      </w:pPr>
    </w:p>
    <w:p w:rsidR="000B6DF7" w:rsidRPr="008F79A8" w:rsidRDefault="000B6DF7" w:rsidP="003866D3">
      <w:pPr>
        <w:pStyle w:val="FSBullet"/>
      </w:pPr>
      <w:r w:rsidRPr="00F327F3">
        <w:t xml:space="preserve">The studies specifically designed to examine manufactured TFA concentrations did not cook samples </w:t>
      </w:r>
      <w:r w:rsidR="009D361C">
        <w:t>before</w:t>
      </w:r>
      <w:r w:rsidRPr="00F327F3">
        <w:t xml:space="preserve"> analysis so any effect of cooking on TFA levels has not been taken into account. However this will not be a significant </w:t>
      </w:r>
      <w:r>
        <w:t xml:space="preserve">factor for those foods </w:t>
      </w:r>
      <w:r w:rsidRPr="00F327F3">
        <w:t>high</w:t>
      </w:r>
      <w:r>
        <w:t>est in</w:t>
      </w:r>
      <w:r w:rsidRPr="00F327F3">
        <w:t xml:space="preserve"> TFA</w:t>
      </w:r>
      <w:r w:rsidR="0042262B">
        <w:t>s</w:t>
      </w:r>
      <w:r w:rsidRPr="00F327F3">
        <w:t xml:space="preserve"> (e.g. biscuits, pastries) which were mostly purchased ready to eat.</w:t>
      </w:r>
    </w:p>
    <w:p w:rsidR="000B6DF7" w:rsidRPr="00A5139A" w:rsidRDefault="000B6DF7" w:rsidP="003866D3">
      <w:pPr>
        <w:pStyle w:val="FSBullet"/>
        <w:numPr>
          <w:ilvl w:val="0"/>
          <w:numId w:val="0"/>
        </w:numPr>
        <w:ind w:left="567"/>
      </w:pPr>
    </w:p>
    <w:p w:rsidR="000B6DF7" w:rsidRDefault="000B6DF7" w:rsidP="003866D3">
      <w:pPr>
        <w:pStyle w:val="FSBullet"/>
      </w:pPr>
      <w:r w:rsidRPr="00F327F3">
        <w:t>Although the same areas of uncertainty apply to the estimated SFA levels, this uncertainty as a proportion of the total estimated SFA intake is likely to be much lower than it is for TFA</w:t>
      </w:r>
      <w:r w:rsidR="0042262B">
        <w:t>s</w:t>
      </w:r>
      <w:r w:rsidRPr="00F327F3">
        <w:t>. This is because SFA</w:t>
      </w:r>
      <w:r w:rsidR="0042262B">
        <w:t>s</w:t>
      </w:r>
      <w:r w:rsidRPr="00F327F3">
        <w:t xml:space="preserve"> are present in much higher concentrations in foods and </w:t>
      </w:r>
      <w:r>
        <w:t xml:space="preserve">levels are </w:t>
      </w:r>
      <w:r w:rsidRPr="00F327F3">
        <w:t>easier to measure</w:t>
      </w:r>
      <w:r>
        <w:t>.</w:t>
      </w:r>
    </w:p>
    <w:p w:rsidR="000B6DF7" w:rsidRPr="00A5139A" w:rsidRDefault="000B6DF7" w:rsidP="003866D3">
      <w:pPr>
        <w:pStyle w:val="FSBullet"/>
        <w:numPr>
          <w:ilvl w:val="0"/>
          <w:numId w:val="0"/>
        </w:numPr>
        <w:ind w:left="567"/>
      </w:pPr>
    </w:p>
    <w:p w:rsidR="000B6DF7" w:rsidRDefault="000B6DF7" w:rsidP="003866D3">
      <w:pPr>
        <w:pStyle w:val="FSBullet"/>
      </w:pPr>
      <w:r w:rsidRPr="004F3A76">
        <w:t xml:space="preserve">The three surveys were snapshots of the </w:t>
      </w:r>
      <w:r w:rsidR="001142EB">
        <w:t>TFA levels in food</w:t>
      </w:r>
      <w:r w:rsidR="001142EB" w:rsidRPr="004F3A76">
        <w:t xml:space="preserve"> </w:t>
      </w:r>
      <w:r w:rsidRPr="004F3A76">
        <w:t>at the time</w:t>
      </w:r>
      <w:r w:rsidR="001142EB">
        <w:t xml:space="preserve"> of sampling</w:t>
      </w:r>
      <w:r w:rsidRPr="004F3A76">
        <w:t xml:space="preserve"> and do not necessarily represent a relationship between time</w:t>
      </w:r>
      <w:r>
        <w:t xml:space="preserve"> and concentration.</w:t>
      </w:r>
    </w:p>
    <w:p w:rsidR="000B6DF7" w:rsidRPr="0029213D" w:rsidRDefault="003866D3" w:rsidP="000B6DF7">
      <w:pPr>
        <w:pStyle w:val="Heading1"/>
      </w:pPr>
      <w:bookmarkStart w:id="44" w:name="_Toc387832037"/>
      <w:bookmarkStart w:id="45" w:name="_Toc389652017"/>
      <w:r>
        <w:t>13</w:t>
      </w:r>
      <w:r>
        <w:tab/>
      </w:r>
      <w:r w:rsidR="000B6DF7" w:rsidRPr="0029213D">
        <w:t>Conclusions</w:t>
      </w:r>
      <w:bookmarkEnd w:id="44"/>
      <w:bookmarkEnd w:id="45"/>
    </w:p>
    <w:p w:rsidR="000B6DF7" w:rsidRDefault="000B6DF7" w:rsidP="000B6DF7">
      <w:r>
        <w:t xml:space="preserve">The current analytical survey investigated TFA concentrations in a total of 500 samples from 39 different product categories that were collected from </w:t>
      </w:r>
      <w:r w:rsidR="009D088C">
        <w:t>NSW</w:t>
      </w:r>
      <w:r>
        <w:t xml:space="preserve">, </w:t>
      </w:r>
      <w:r w:rsidR="009D088C">
        <w:t>WA</w:t>
      </w:r>
      <w:r>
        <w:t>, N</w:t>
      </w:r>
      <w:r w:rsidR="006608CC">
        <w:t xml:space="preserve">ew </w:t>
      </w:r>
      <w:r>
        <w:t>Z</w:t>
      </w:r>
      <w:r w:rsidR="006608CC">
        <w:t>ealand</w:t>
      </w:r>
      <w:r>
        <w:t xml:space="preserve">, </w:t>
      </w:r>
      <w:r w:rsidR="009D088C">
        <w:t>SA</w:t>
      </w:r>
      <w:r>
        <w:t xml:space="preserve">, Tasmania, Queensland and Victoria, over a two week period in October 2013. The range of product categories tested in the survey included takeaway foods, fats and oils, snack foods, meat products, and bakery products. </w:t>
      </w:r>
    </w:p>
    <w:p w:rsidR="000B6DF7" w:rsidRDefault="000B6DF7" w:rsidP="000B6DF7"/>
    <w:p w:rsidR="001D744A" w:rsidRDefault="001D744A" w:rsidP="001D744A">
      <w:bookmarkStart w:id="46" w:name="_Toc387832038"/>
      <w:bookmarkStart w:id="47" w:name="_Toc389652018"/>
      <w:r w:rsidRPr="00081BA8">
        <w:t>TFA</w:t>
      </w:r>
      <w:r>
        <w:t>s</w:t>
      </w:r>
      <w:r w:rsidRPr="00081BA8">
        <w:t xml:space="preserve"> </w:t>
      </w:r>
      <w:r>
        <w:t xml:space="preserve">were detected in 36 of the 39 product categories </w:t>
      </w:r>
      <w:r w:rsidRPr="00081BA8">
        <w:t xml:space="preserve">analysed. </w:t>
      </w:r>
      <w:r>
        <w:t>The h</w:t>
      </w:r>
      <w:r w:rsidRPr="00081BA8">
        <w:t>ighest median concentrations of TFA</w:t>
      </w:r>
      <w:r>
        <w:t>s</w:t>
      </w:r>
      <w:r w:rsidRPr="00081BA8">
        <w:t xml:space="preserve"> were found </w:t>
      </w:r>
      <w:r>
        <w:t xml:space="preserve">in </w:t>
      </w:r>
      <w:r w:rsidRPr="00081BA8">
        <w:t>edible oil spreads</w:t>
      </w:r>
      <w:r>
        <w:t>,</w:t>
      </w:r>
      <w:r w:rsidRPr="00081BA8">
        <w:t xml:space="preserve"> vegetable oils, croissants, custard baked goods, and prepared pastry. TFA</w:t>
      </w:r>
      <w:r>
        <w:t xml:space="preserve">s were </w:t>
      </w:r>
      <w:r w:rsidRPr="00081BA8">
        <w:t>not detected in pikelets/pancakes, snack bars and toasted style muesli. Whil</w:t>
      </w:r>
      <w:r>
        <w:t>e</w:t>
      </w:r>
      <w:r w:rsidRPr="00081BA8">
        <w:t xml:space="preserve"> TFA</w:t>
      </w:r>
      <w:r>
        <w:t>s</w:t>
      </w:r>
      <w:r w:rsidRPr="00081BA8">
        <w:t xml:space="preserve"> w</w:t>
      </w:r>
      <w:r>
        <w:t>ere</w:t>
      </w:r>
      <w:r w:rsidRPr="00081BA8">
        <w:t xml:space="preserve"> detected in most product categories</w:t>
      </w:r>
      <w:r>
        <w:t xml:space="preserve">, the median concentrations in Australian and New Zealand foods were generally low. Excluding samples likely to contain ruminant TFA, approximately 86% of the samples had TFA concentrations below 2 g/100 g fat, the limit adopted for manufactured TFAs in Danish legislation in 2003. </w:t>
      </w:r>
    </w:p>
    <w:p w:rsidR="001D744A" w:rsidRPr="0093343D" w:rsidRDefault="001D744A" w:rsidP="001D744A">
      <w:pPr>
        <w:rPr>
          <w:i/>
        </w:rPr>
      </w:pPr>
    </w:p>
    <w:p w:rsidR="001D744A" w:rsidRPr="001776B6" w:rsidRDefault="001D744A" w:rsidP="001D744A">
      <w:r w:rsidRPr="001776B6">
        <w:t>Median TFA concentrations were generally consistent with those observed in the 2008-09 survey, with no clear trend toward an increase or a decrease in median TFA concentrations found in Australian or New Zealand foods. Statistically significant (p&lt;0.01) increases in TFA concentration were observed in only one product category</w:t>
      </w:r>
      <w:r w:rsidRPr="001776B6">
        <w:rPr>
          <w:rFonts w:cs="Arial"/>
        </w:rPr>
        <w:t>—</w:t>
      </w:r>
      <w:r w:rsidRPr="001776B6">
        <w:t>chicken nuggets/products (median concentrations of TFAs in chicken nuggets/products were 0.1 and 0.2 g/100 g food in the 2008</w:t>
      </w:r>
      <w:r w:rsidRPr="001776B6">
        <w:rPr>
          <w:rFonts w:cs="Arial"/>
        </w:rPr>
        <w:t>‒</w:t>
      </w:r>
      <w:r w:rsidRPr="001776B6">
        <w:t xml:space="preserve">09 and 2013 surveys, respectively). This product category was widened slightly to include other chicken products in the current survey, which may have contributed to this result. No significant changes in TFA concentrations were observed in other product categories. </w:t>
      </w:r>
    </w:p>
    <w:p w:rsidR="001D744A" w:rsidRPr="001776B6" w:rsidRDefault="001D744A" w:rsidP="001D744A"/>
    <w:p w:rsidR="001D744A" w:rsidRPr="001776B6" w:rsidRDefault="001D744A" w:rsidP="001D744A">
      <w:r w:rsidRPr="001776B6">
        <w:lastRenderedPageBreak/>
        <w:t xml:space="preserve">On the basis that the analytical results did not show an increase in TFA concentrations in Australian or New Zealand foods, it is anticipated that the dietary intake of TFAs remains low, and below the WHO recommended level of 1% dietary energy in both Australia and New Zealand.  </w:t>
      </w:r>
    </w:p>
    <w:p w:rsidR="001D744A" w:rsidRPr="001776B6" w:rsidRDefault="001D744A" w:rsidP="001D744A"/>
    <w:p w:rsidR="001D744A" w:rsidRPr="001776B6" w:rsidRDefault="001D744A" w:rsidP="001D744A">
      <w:r w:rsidRPr="001776B6">
        <w:t>On 9 May 2014, the summary results of the 2011</w:t>
      </w:r>
      <w:r w:rsidRPr="001776B6">
        <w:rPr>
          <w:rFonts w:cs="Arial"/>
          <w:i/>
        </w:rPr>
        <w:t>‒</w:t>
      </w:r>
      <w:r w:rsidRPr="001776B6">
        <w:t xml:space="preserve">12 National Nutrition and Physical Activity Survey (NNPAS) component of the Australian Health Survey were released. These included new estimates of TFA and energy intake and were based on up-to-date food consumption data and the TFA concentration data available to FSANZ in 2009. The NNPAS results show that TFA intake remains low, with the mean intake of all Australians 2 years and above (1.4 g/day) representing 0.6% of dietary energy. The dairy and meat food groups, together with butters and dairy blends, contributed more than half of the intake, which shows ruminant TFAs continue to be the major source of TFAs in the Australian diet. The updated food consumption data indicate that the mean TFA intake of Australian consumers remains below the WHO recommendation of less than 1% of dietary energy. Updated consumption data for New Zealand are not yet available for dietary exposure modelling purposes. </w:t>
      </w:r>
    </w:p>
    <w:p w:rsidR="001D744A" w:rsidRPr="001776B6" w:rsidRDefault="001D744A" w:rsidP="001D744A"/>
    <w:p w:rsidR="001D744A" w:rsidRPr="001776B6" w:rsidRDefault="001D744A" w:rsidP="001D744A">
      <w:r w:rsidRPr="001776B6">
        <w:t xml:space="preserve">The NNPAS results support the conclusion that TFA intakes are likely to be low based on the concentrations of TFAs found in food. </w:t>
      </w:r>
    </w:p>
    <w:p w:rsidR="001D744A" w:rsidRPr="001776B6" w:rsidRDefault="001D744A" w:rsidP="001D744A"/>
    <w:p w:rsidR="001D744A" w:rsidRDefault="001D744A" w:rsidP="001D744A">
      <w:r w:rsidRPr="00E66373">
        <w:t>The survey results should be considered with the 2013 FSANZ industry survey on the use of TFA</w:t>
      </w:r>
      <w:r>
        <w:t>s</w:t>
      </w:r>
      <w:r w:rsidRPr="00E66373">
        <w:t xml:space="preserve"> in the New Zealand and Australian food supply, and the 2014 FSANZ systematic and narrative reviews of the health effects of TFA</w:t>
      </w:r>
      <w:r>
        <w:t>s</w:t>
      </w:r>
      <w:r w:rsidRPr="00E66373">
        <w:t>.</w:t>
      </w:r>
    </w:p>
    <w:p w:rsidR="000B6DF7" w:rsidRDefault="003866D3" w:rsidP="003866D3">
      <w:pPr>
        <w:pStyle w:val="Heading1"/>
      </w:pPr>
      <w:r w:rsidRPr="003866D3">
        <w:t>14</w:t>
      </w:r>
      <w:r>
        <w:tab/>
      </w:r>
      <w:r w:rsidR="000B6DF7" w:rsidRPr="003866D3">
        <w:t>References</w:t>
      </w:r>
      <w:bookmarkEnd w:id="46"/>
      <w:bookmarkEnd w:id="47"/>
    </w:p>
    <w:p w:rsidR="000B6DF7" w:rsidRDefault="000B6DF7" w:rsidP="000B6DF7">
      <w:pPr>
        <w:rPr>
          <w:lang w:eastAsia="en-AU"/>
        </w:rPr>
      </w:pPr>
      <w:r w:rsidRPr="000E3731">
        <w:rPr>
          <w:lang w:eastAsia="en-AU"/>
        </w:rPr>
        <w:t xml:space="preserve">Danish Veterinary and Food Administration </w:t>
      </w:r>
      <w:r>
        <w:rPr>
          <w:lang w:eastAsia="en-AU"/>
        </w:rPr>
        <w:t>(</w:t>
      </w:r>
      <w:r w:rsidRPr="000E3731">
        <w:rPr>
          <w:lang w:eastAsia="en-AU"/>
        </w:rPr>
        <w:t>2014</w:t>
      </w:r>
      <w:r w:rsidR="003866D3">
        <w:rPr>
          <w:lang w:eastAsia="en-AU"/>
        </w:rPr>
        <w:t>)</w:t>
      </w:r>
      <w:r>
        <w:rPr>
          <w:lang w:eastAsia="en-AU"/>
        </w:rPr>
        <w:t xml:space="preserve"> Courtesy translation Order on the content of trans fatty acids in oils and fats etc.</w:t>
      </w:r>
      <w:r w:rsidRPr="00BC222D">
        <w:t xml:space="preserve"> </w:t>
      </w:r>
      <w:r w:rsidRPr="00BC222D">
        <w:rPr>
          <w:lang w:eastAsia="en-AU"/>
        </w:rPr>
        <w:t>Order No. 160 of 11 March 2003</w:t>
      </w:r>
    </w:p>
    <w:p w:rsidR="000B6DF7" w:rsidRDefault="000B6DF7" w:rsidP="000B6DF7"/>
    <w:p w:rsidR="000B6DF7" w:rsidRDefault="000B6DF7" w:rsidP="000B6DF7">
      <w:r w:rsidRPr="00C04F4C">
        <w:t>EFSA 2004</w:t>
      </w:r>
      <w:r>
        <w:t xml:space="preserve"> Opinion of the Scientific Panel on Dietetic Products, Nutrition and Allergies on a request from the Commission related to the presence of trans fatty acids in foods and the effect on human health of the consumption of trans fatty acids (Request N° EFSA-Q-2003-022) (adopted on 8 July 2004)</w:t>
      </w:r>
    </w:p>
    <w:p w:rsidR="000B6DF7" w:rsidRDefault="000B6DF7" w:rsidP="000B6DF7"/>
    <w:p w:rsidR="000B6DF7" w:rsidRPr="00CB11EE" w:rsidRDefault="003866D3" w:rsidP="000B6DF7">
      <w:r>
        <w:t>FSAI (2008)</w:t>
      </w:r>
      <w:r w:rsidR="000B6DF7" w:rsidRPr="00CB11EE">
        <w:t xml:space="preserve"> Trans fatty acid survey of fast f</w:t>
      </w:r>
      <w:r w:rsidR="000B6DF7">
        <w:t>oods in Ireland. Food Safety Au</w:t>
      </w:r>
      <w:r w:rsidR="000B6DF7" w:rsidRPr="00CB11EE">
        <w:t>thority of Ireland. Available at: www.fsai.ie/WorkArea/DownloadAsset.aspx?id=8304</w:t>
      </w:r>
    </w:p>
    <w:p w:rsidR="000B6DF7" w:rsidRDefault="000B6DF7" w:rsidP="000B6DF7"/>
    <w:p w:rsidR="000B6DF7" w:rsidRPr="00CB11EE" w:rsidRDefault="003866D3" w:rsidP="000B6DF7">
      <w:pPr>
        <w:rPr>
          <w:rFonts w:cs="Arial"/>
        </w:rPr>
      </w:pPr>
      <w:r>
        <w:rPr>
          <w:rFonts w:cs="Arial"/>
        </w:rPr>
        <w:t>McCarthy J, Barr D, Sinclair A (2008)</w:t>
      </w:r>
      <w:r w:rsidR="000B6DF7" w:rsidRPr="00CB11EE">
        <w:rPr>
          <w:rFonts w:cs="Arial"/>
        </w:rPr>
        <w:t xml:space="preserve"> Determination of trans fatty acid levels by FTIR in processed foods in Australia. </w:t>
      </w:r>
      <w:r w:rsidR="000B6DF7" w:rsidRPr="00CB11EE">
        <w:rPr>
          <w:rFonts w:cs="Arial"/>
          <w:i/>
          <w:iCs/>
        </w:rPr>
        <w:t>Asia Pac. J. Clin. Nutr.</w:t>
      </w:r>
      <w:r w:rsidR="000B6DF7" w:rsidRPr="00CB11EE">
        <w:rPr>
          <w:rFonts w:cs="Arial"/>
        </w:rPr>
        <w:t xml:space="preserve"> </w:t>
      </w:r>
      <w:r w:rsidR="000B6DF7" w:rsidRPr="00CB11EE">
        <w:rPr>
          <w:rFonts w:cs="Arial"/>
          <w:b/>
          <w:bCs/>
        </w:rPr>
        <w:t>17</w:t>
      </w:r>
      <w:r w:rsidR="000B6DF7" w:rsidRPr="00CB11EE">
        <w:rPr>
          <w:rFonts w:cs="Arial"/>
        </w:rPr>
        <w:t>(3), 391-396</w:t>
      </w:r>
    </w:p>
    <w:p w:rsidR="000B6DF7" w:rsidRDefault="000B6DF7" w:rsidP="000B6DF7">
      <w:pPr>
        <w:rPr>
          <w:rFonts w:cs="Arial"/>
        </w:rPr>
      </w:pPr>
    </w:p>
    <w:p w:rsidR="000B6DF7" w:rsidRDefault="003866D3" w:rsidP="000B6DF7">
      <w:r>
        <w:rPr>
          <w:rFonts w:cs="Arial"/>
        </w:rPr>
        <w:t>Stender S, Astrup A, Dyerberg J (2012)</w:t>
      </w:r>
      <w:r w:rsidR="000B6DF7">
        <w:rPr>
          <w:rFonts w:cs="Arial"/>
        </w:rPr>
        <w:t xml:space="preserve"> A trans European Union difference in the decline in trans fatty acids in popular foods: a market basket investigation. </w:t>
      </w:r>
      <w:r>
        <w:rPr>
          <w:rFonts w:cs="Arial"/>
        </w:rPr>
        <w:t>BMJ Open 2012 – 00859; 1-9</w:t>
      </w:r>
      <w:r w:rsidR="000B6DF7">
        <w:rPr>
          <w:rFonts w:cs="Arial"/>
        </w:rPr>
        <w:t xml:space="preserve"> </w:t>
      </w:r>
    </w:p>
    <w:p w:rsidR="000B6DF7" w:rsidRPr="00CB11EE" w:rsidRDefault="000B6DF7" w:rsidP="000B6DF7">
      <w:pPr>
        <w:rPr>
          <w:rFonts w:cs="Arial"/>
        </w:rPr>
      </w:pPr>
    </w:p>
    <w:p w:rsidR="000B6DF7" w:rsidRDefault="003866D3" w:rsidP="000B6DF7">
      <w:r>
        <w:t>UK</w:t>
      </w:r>
      <w:r w:rsidR="000B6DF7" w:rsidRPr="00CB11EE">
        <w:t xml:space="preserve"> Department of Health (2013) Nutrient analysis of a range of processed foods with particular reference to trans fatty acids. Analytical report (revised versi</w:t>
      </w:r>
      <w:r>
        <w:t>on – macro and micro-nutrients)</w:t>
      </w:r>
      <w:r w:rsidR="000B6DF7" w:rsidRPr="00CB11EE">
        <w:t xml:space="preserve"> </w:t>
      </w:r>
    </w:p>
    <w:p w:rsidR="000B6DF7" w:rsidRDefault="000B6DF7" w:rsidP="000B6DF7"/>
    <w:p w:rsidR="00960415" w:rsidRPr="00960415" w:rsidRDefault="00960415" w:rsidP="00960415">
      <w:pPr>
        <w:rPr>
          <w:color w:val="3333FF"/>
          <w:szCs w:val="22"/>
          <w:u w:val="single"/>
        </w:rPr>
      </w:pPr>
      <w:r w:rsidRPr="00960415">
        <w:rPr>
          <w:szCs w:val="22"/>
        </w:rPr>
        <w:t xml:space="preserve">University of Otago and Ministry of Health (2011) </w:t>
      </w:r>
      <w:r w:rsidRPr="00960415">
        <w:rPr>
          <w:i/>
          <w:iCs/>
          <w:szCs w:val="22"/>
        </w:rPr>
        <w:t>A Focus on Nutrition: Key findings of the 2008/09 New Zealand Adult Nutrition Survey</w:t>
      </w:r>
      <w:r w:rsidRPr="00960415">
        <w:rPr>
          <w:szCs w:val="22"/>
        </w:rPr>
        <w:t xml:space="preserve">. Wellington: Ministry of Health. </w:t>
      </w:r>
      <w:hyperlink r:id="rId31" w:history="1">
        <w:r w:rsidRPr="00960415">
          <w:rPr>
            <w:color w:val="3333FF"/>
            <w:szCs w:val="22"/>
            <w:u w:val="single"/>
          </w:rPr>
          <w:t>http://www.health.govt.nz/publication/focus-nutrition-key-findings-2008-09-nz-adult-nutrition-survey</w:t>
        </w:r>
      </w:hyperlink>
      <w:r w:rsidRPr="00960415">
        <w:rPr>
          <w:szCs w:val="22"/>
        </w:rPr>
        <w:t xml:space="preserve"> Accessed 19 May 2014</w:t>
      </w:r>
    </w:p>
    <w:p w:rsidR="00960415" w:rsidRDefault="00960415" w:rsidP="000B6DF7"/>
    <w:p w:rsidR="000B6DF7" w:rsidRDefault="000B6DF7" w:rsidP="000B6DF7">
      <w:pPr>
        <w:rPr>
          <w:rFonts w:eastAsiaTheme="majorEastAsia" w:cstheme="majorBidi"/>
          <w:b/>
          <w:bCs/>
          <w:sz w:val="36"/>
          <w:szCs w:val="28"/>
        </w:rPr>
      </w:pPr>
      <w:r>
        <w:br w:type="page"/>
      </w:r>
    </w:p>
    <w:p w:rsidR="000B6DF7" w:rsidRPr="005935C2" w:rsidRDefault="000B6DF7" w:rsidP="000B6DF7">
      <w:pPr>
        <w:pStyle w:val="Heading1"/>
        <w:ind w:left="0" w:firstLine="0"/>
        <w:rPr>
          <w:color w:val="000000" w:themeColor="text1"/>
        </w:rPr>
      </w:pPr>
      <w:bookmarkStart w:id="48" w:name="_Toc387832039"/>
      <w:bookmarkStart w:id="49" w:name="_Toc389652019"/>
      <w:r w:rsidRPr="00BC222D">
        <w:rPr>
          <w:color w:val="000000" w:themeColor="text1"/>
        </w:rPr>
        <w:lastRenderedPageBreak/>
        <w:t>Appendix 1</w:t>
      </w:r>
      <w:r w:rsidR="006617A3">
        <w:rPr>
          <w:color w:val="000000" w:themeColor="text1"/>
        </w:rPr>
        <w:t xml:space="preserve"> </w:t>
      </w:r>
      <w:r w:rsidRPr="005935C2">
        <w:rPr>
          <w:rFonts w:cs="Arial"/>
          <w:b w:val="0"/>
          <w:color w:val="000000" w:themeColor="text1"/>
        </w:rPr>
        <w:t>Chemistry and occurrence of fatty acids in foods</w:t>
      </w:r>
      <w:bookmarkEnd w:id="48"/>
      <w:bookmarkEnd w:id="49"/>
    </w:p>
    <w:p w:rsidR="000B6DF7" w:rsidRPr="008C665B" w:rsidRDefault="000B6DF7" w:rsidP="000B6DF7">
      <w:pPr>
        <w:autoSpaceDE w:val="0"/>
        <w:autoSpaceDN w:val="0"/>
        <w:adjustRightInd w:val="0"/>
        <w:rPr>
          <w:rFonts w:cs="Arial"/>
        </w:rPr>
      </w:pPr>
      <w:r w:rsidRPr="008C665B">
        <w:rPr>
          <w:rFonts w:cs="Arial"/>
        </w:rPr>
        <w:t xml:space="preserve">Edible oils (including oils and fats) are esters (a chemical linkage that holds an alcohol and acid group together) of </w:t>
      </w:r>
      <w:r w:rsidRPr="008C665B">
        <w:rPr>
          <w:rFonts w:cs="Arial"/>
          <w:i/>
          <w:iCs/>
        </w:rPr>
        <w:t xml:space="preserve">fatty acids </w:t>
      </w:r>
      <w:r w:rsidRPr="008C665B">
        <w:rPr>
          <w:rFonts w:cs="Arial"/>
        </w:rPr>
        <w:t xml:space="preserve">and glycerol. In food most edible oils occur as </w:t>
      </w:r>
      <w:r w:rsidRPr="008C665B">
        <w:rPr>
          <w:rFonts w:cs="Arial"/>
          <w:i/>
          <w:iCs/>
        </w:rPr>
        <w:t>triglycerides</w:t>
      </w:r>
      <w:r w:rsidRPr="008C665B">
        <w:rPr>
          <w:rFonts w:cs="Arial"/>
        </w:rPr>
        <w:t>, i.e. three fatty acids are attached to a glycerol backbone (</w:t>
      </w:r>
      <w:r w:rsidRPr="008C665B">
        <w:rPr>
          <w:rFonts w:cs="Arial"/>
          <w:i/>
          <w:iCs/>
        </w:rPr>
        <w:t>triacylglycerols</w:t>
      </w:r>
      <w:r w:rsidRPr="008C665B">
        <w:rPr>
          <w:rFonts w:cs="Arial"/>
        </w:rPr>
        <w:t>)</w:t>
      </w:r>
      <w:r w:rsidRPr="008C665B">
        <w:rPr>
          <w:rFonts w:cs="Arial"/>
          <w:i/>
          <w:iCs/>
        </w:rPr>
        <w:t>.</w:t>
      </w:r>
      <w:r w:rsidRPr="008C665B">
        <w:rPr>
          <w:rFonts w:cs="Arial"/>
        </w:rPr>
        <w:t xml:space="preserve"> Fatty acids contain a </w:t>
      </w:r>
      <w:r w:rsidRPr="008C665B">
        <w:rPr>
          <w:rFonts w:cs="Arial"/>
          <w:i/>
          <w:iCs/>
        </w:rPr>
        <w:t xml:space="preserve">carboxyl group </w:t>
      </w:r>
      <w:r w:rsidRPr="008C665B">
        <w:rPr>
          <w:rFonts w:cs="Arial"/>
        </w:rPr>
        <w:t xml:space="preserve">(COOH) and an aliphatic chain of carbon molecules and it is the characteristics of this </w:t>
      </w:r>
      <w:r w:rsidRPr="008C665B">
        <w:rPr>
          <w:rFonts w:cs="Arial"/>
          <w:i/>
          <w:iCs/>
        </w:rPr>
        <w:t xml:space="preserve">carbon chain </w:t>
      </w:r>
      <w:r w:rsidRPr="008C665B">
        <w:rPr>
          <w:rFonts w:cs="Arial"/>
        </w:rPr>
        <w:t xml:space="preserve">that play a major role in determining the properties of a fat. </w:t>
      </w:r>
    </w:p>
    <w:p w:rsidR="000B6DF7" w:rsidRPr="008234DB" w:rsidRDefault="000B6DF7" w:rsidP="000B6DF7">
      <w:pPr>
        <w:autoSpaceDE w:val="0"/>
        <w:autoSpaceDN w:val="0"/>
        <w:adjustRightInd w:val="0"/>
        <w:rPr>
          <w:rFonts w:cs="Arial"/>
        </w:rPr>
      </w:pPr>
    </w:p>
    <w:p w:rsidR="000B6DF7" w:rsidRPr="00F10AA4" w:rsidRDefault="000B6DF7" w:rsidP="000B6DF7">
      <w:pPr>
        <w:autoSpaceDE w:val="0"/>
        <w:autoSpaceDN w:val="0"/>
        <w:adjustRightInd w:val="0"/>
        <w:rPr>
          <w:rFonts w:cs="Arial"/>
          <w:i/>
          <w:iCs/>
        </w:rPr>
      </w:pPr>
      <w:r w:rsidRPr="008234DB">
        <w:rPr>
          <w:rFonts w:cs="Arial"/>
        </w:rPr>
        <w:t xml:space="preserve">Fatty acids can be classified according to the number of double bonds. </w:t>
      </w:r>
      <w:r w:rsidRPr="008234DB">
        <w:rPr>
          <w:rFonts w:cs="Arial"/>
          <w:i/>
          <w:iCs/>
        </w:rPr>
        <w:t>Saturated fatty acids</w:t>
      </w:r>
      <w:r w:rsidR="00F10AA4">
        <w:rPr>
          <w:rFonts w:cs="Arial"/>
          <w:i/>
          <w:iCs/>
        </w:rPr>
        <w:t xml:space="preserve"> </w:t>
      </w:r>
      <w:r w:rsidRPr="008234DB">
        <w:rPr>
          <w:rFonts w:cs="Arial"/>
        </w:rPr>
        <w:t>(SFA</w:t>
      </w:r>
      <w:r w:rsidR="00DE5E95">
        <w:rPr>
          <w:rFonts w:cs="Arial"/>
        </w:rPr>
        <w:t>s</w:t>
      </w:r>
      <w:r w:rsidRPr="008234DB">
        <w:rPr>
          <w:rFonts w:cs="Arial"/>
        </w:rPr>
        <w:t xml:space="preserve">) have no double bonds, </w:t>
      </w:r>
      <w:r w:rsidRPr="008234DB">
        <w:rPr>
          <w:rFonts w:cs="Arial"/>
          <w:i/>
          <w:iCs/>
        </w:rPr>
        <w:t xml:space="preserve">monounsaturated fatty acids </w:t>
      </w:r>
      <w:r w:rsidRPr="008234DB">
        <w:rPr>
          <w:rFonts w:cs="Arial"/>
        </w:rPr>
        <w:t>(MUFA</w:t>
      </w:r>
      <w:r w:rsidR="00DE5E95">
        <w:rPr>
          <w:rFonts w:cs="Arial"/>
        </w:rPr>
        <w:t>s</w:t>
      </w:r>
      <w:r w:rsidRPr="008234DB">
        <w:rPr>
          <w:rFonts w:cs="Arial"/>
        </w:rPr>
        <w:t>) have one double bond,</w:t>
      </w:r>
      <w:r w:rsidR="00F10AA4">
        <w:rPr>
          <w:rFonts w:cs="Arial"/>
          <w:i/>
          <w:iCs/>
        </w:rPr>
        <w:t xml:space="preserve"> </w:t>
      </w:r>
      <w:r w:rsidRPr="008234DB">
        <w:rPr>
          <w:rFonts w:cs="Arial"/>
        </w:rPr>
        <w:t xml:space="preserve">and </w:t>
      </w:r>
      <w:r w:rsidRPr="008234DB">
        <w:rPr>
          <w:rFonts w:cs="Arial"/>
          <w:i/>
          <w:iCs/>
        </w:rPr>
        <w:t xml:space="preserve">polyunsaturated fatty acids </w:t>
      </w:r>
      <w:r w:rsidRPr="008234DB">
        <w:rPr>
          <w:rFonts w:cs="Arial"/>
        </w:rPr>
        <w:t>(PUFA</w:t>
      </w:r>
      <w:r w:rsidR="00DE5E95">
        <w:rPr>
          <w:rFonts w:cs="Arial"/>
        </w:rPr>
        <w:t>s</w:t>
      </w:r>
      <w:r w:rsidRPr="008234DB">
        <w:rPr>
          <w:rFonts w:cs="Arial"/>
        </w:rPr>
        <w:t xml:space="preserve">) have two or more double bonds (refer to Figure </w:t>
      </w:r>
      <w:r>
        <w:rPr>
          <w:rFonts w:cs="Arial"/>
        </w:rPr>
        <w:t>A1.</w:t>
      </w:r>
      <w:r w:rsidRPr="008234DB">
        <w:rPr>
          <w:rFonts w:cs="Arial"/>
        </w:rPr>
        <w:t xml:space="preserve">1). Commonly, the unsaturated fatty acids that occur naturally in food have double bonds in a </w:t>
      </w:r>
      <w:r w:rsidRPr="008234DB">
        <w:rPr>
          <w:rFonts w:cs="Arial"/>
          <w:i/>
          <w:iCs/>
        </w:rPr>
        <w:t xml:space="preserve">cis </w:t>
      </w:r>
      <w:r w:rsidRPr="008234DB">
        <w:rPr>
          <w:rFonts w:cs="Arial"/>
        </w:rPr>
        <w:t xml:space="preserve">configuration: the carbon chains on the two sides of the double bond bend towards each other and the hydrogen atoms on the double bond are located on the same side. </w:t>
      </w:r>
    </w:p>
    <w:p w:rsidR="000B6DF7" w:rsidRPr="008234DB" w:rsidRDefault="000B6DF7" w:rsidP="000B6DF7">
      <w:pPr>
        <w:autoSpaceDE w:val="0"/>
        <w:autoSpaceDN w:val="0"/>
        <w:adjustRightInd w:val="0"/>
        <w:rPr>
          <w:rFonts w:cs="Arial"/>
        </w:rPr>
      </w:pPr>
    </w:p>
    <w:p w:rsidR="000B6DF7" w:rsidRPr="008234DB" w:rsidRDefault="000B6DF7" w:rsidP="000B6DF7">
      <w:pPr>
        <w:autoSpaceDE w:val="0"/>
        <w:autoSpaceDN w:val="0"/>
        <w:adjustRightInd w:val="0"/>
        <w:rPr>
          <w:rFonts w:cs="Arial"/>
        </w:rPr>
      </w:pPr>
    </w:p>
    <w:p w:rsidR="000B6DF7" w:rsidRPr="008234DB" w:rsidRDefault="000B6DF7" w:rsidP="000B6DF7">
      <w:pPr>
        <w:autoSpaceDE w:val="0"/>
        <w:autoSpaceDN w:val="0"/>
        <w:adjustRightInd w:val="0"/>
        <w:rPr>
          <w:rFonts w:cs="Arial"/>
        </w:rPr>
      </w:pPr>
      <w:r w:rsidRPr="008234DB">
        <w:rPr>
          <w:rFonts w:cs="Arial"/>
          <w:noProof/>
          <w:lang w:val="en-NZ" w:eastAsia="en-NZ" w:bidi="ar-SA"/>
        </w:rPr>
        <mc:AlternateContent>
          <mc:Choice Requires="wps">
            <w:drawing>
              <wp:anchor distT="0" distB="0" distL="114300" distR="114300" simplePos="0" relativeHeight="251662336" behindDoc="0" locked="0" layoutInCell="1" allowOverlap="1" wp14:anchorId="48E12917" wp14:editId="00F2371E">
                <wp:simplePos x="0" y="0"/>
                <wp:positionH relativeFrom="column">
                  <wp:posOffset>3642995</wp:posOffset>
                </wp:positionH>
                <wp:positionV relativeFrom="paragraph">
                  <wp:posOffset>31115</wp:posOffset>
                </wp:positionV>
                <wp:extent cx="285750" cy="2190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rsidR="00BA6065" w:rsidRDefault="00BA6065" w:rsidP="000B6DF7">
                            <w:r>
                              <w:t>ca</w:t>
                            </w:r>
                            <w:sdt>
                              <w:sdtPr>
                                <w:id w:val="-1444617507"/>
                                <w:temporary/>
                                <w:showingPlcHdr/>
                              </w:sdtPr>
                              <w:sdtEndPr/>
                              <w:sdtContent>
                                <w:r>
                                  <w:t>[Type a quote from the document or the summary of an interesting point. You can position the text box anywhere in the document. Use the Drawing Tools tab to change the formatting of the pull quote text box.]</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6.85pt;margin-top:2.45pt;width:2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">
                <v:textbox>
                  <w:txbxContent>
                    <w:p w:rsidR="00BA6065" w:rsidRDefault="00BA6065" w:rsidP="000B6DF7">
                      <w:r>
                        <w:t>ca</w:t>
                      </w:r>
                      <w:sdt>
                        <w:sdtPr>
                          <w:id w:val="-1444617507"/>
                          <w:temporary/>
                          <w:showingPlcHdr/>
                        </w:sdtPr>
                        <w:sdtEndPr/>
                        <w:sdtContent>
                          <w:r>
                            <w:t>[Type a quote from the document or the summary of an interesting point. You can position the text box anywhere in the document. Use the Drawing Tools tab to change the formatting of the pull quote text box.]</w:t>
                          </w:r>
                        </w:sdtContent>
                      </w:sdt>
                    </w:p>
                  </w:txbxContent>
                </v:textbox>
              </v:shape>
            </w:pict>
          </mc:Fallback>
        </mc:AlternateContent>
      </w:r>
      <w:r w:rsidRPr="008234DB">
        <w:rPr>
          <w:rFonts w:cs="Arial"/>
          <w:noProof/>
          <w:lang w:val="en-NZ" w:eastAsia="en-NZ" w:bidi="ar-SA"/>
        </w:rPr>
        <mc:AlternateContent>
          <mc:Choice Requires="wps">
            <w:drawing>
              <wp:anchor distT="0" distB="0" distL="114300" distR="114300" simplePos="0" relativeHeight="251661312" behindDoc="0" locked="0" layoutInCell="1" allowOverlap="1" wp14:anchorId="6739329E" wp14:editId="1857C47F">
                <wp:simplePos x="0" y="0"/>
                <wp:positionH relativeFrom="column">
                  <wp:posOffset>1528445</wp:posOffset>
                </wp:positionH>
                <wp:positionV relativeFrom="paragraph">
                  <wp:posOffset>40640</wp:posOffset>
                </wp:positionV>
                <wp:extent cx="285750" cy="2190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rsidR="00BA6065" w:rsidRDefault="00BA6065" w:rsidP="000B6DF7">
                            <w:r>
                              <w:t>ba</w:t>
                            </w:r>
                            <w:sdt>
                              <w:sdtPr>
                                <w:id w:val="212392357"/>
                                <w:temporary/>
                                <w:showingPlcHdr/>
                              </w:sdtPr>
                              <w:sdtEndPr/>
                              <w:sdtContent>
                                <w:r>
                                  <w:t>[Type a quote from the document or the summary of an interesting point. You can position the text box anywhere in the document. Use the Drawing Tools tab to change the formatting of the pull quote text box.]</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0.35pt;margin-top:3.2pt;width:2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KQJQ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">
                <v:textbox>
                  <w:txbxContent>
                    <w:p w:rsidR="00BA6065" w:rsidRDefault="00BA6065" w:rsidP="000B6DF7">
                      <w:r>
                        <w:t>ba</w:t>
                      </w:r>
                      <w:sdt>
                        <w:sdtPr>
                          <w:id w:val="212392357"/>
                          <w:temporary/>
                          <w:showingPlcHdr/>
                        </w:sdtPr>
                        <w:sdtEndPr/>
                        <w:sdtContent>
                          <w:r>
                            <w:t>[Type a quote from the document or the summary of an interesting point. You can position the text box anywhere in the document. Use the Drawing Tools tab to change the formatting of the pull quote text box.]</w:t>
                          </w:r>
                        </w:sdtContent>
                      </w:sdt>
                    </w:p>
                  </w:txbxContent>
                </v:textbox>
              </v:shape>
            </w:pict>
          </mc:Fallback>
        </mc:AlternateContent>
      </w:r>
      <w:r w:rsidRPr="008234DB">
        <w:rPr>
          <w:rFonts w:cs="Arial"/>
          <w:noProof/>
          <w:lang w:val="en-NZ" w:eastAsia="en-NZ" w:bidi="ar-SA"/>
        </w:rPr>
        <mc:AlternateContent>
          <mc:Choice Requires="wps">
            <w:drawing>
              <wp:anchor distT="0" distB="0" distL="114300" distR="114300" simplePos="0" relativeHeight="251660288" behindDoc="0" locked="0" layoutInCell="1" allowOverlap="1" wp14:anchorId="7A1A0D0E" wp14:editId="5473D8E2">
                <wp:simplePos x="0" y="0"/>
                <wp:positionH relativeFrom="column">
                  <wp:posOffset>4445</wp:posOffset>
                </wp:positionH>
                <wp:positionV relativeFrom="paragraph">
                  <wp:posOffset>50165</wp:posOffset>
                </wp:positionV>
                <wp:extent cx="285750" cy="219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rsidR="00BA6065" w:rsidRDefault="00BA6065" w:rsidP="000B6DF7">
                            <w:r>
                              <w:t>a</w:t>
                            </w:r>
                            <w:sdt>
                              <w:sdtPr>
                                <w:id w:val="1031231005"/>
                                <w:temporary/>
                                <w:showingPlcHdr/>
                              </w:sdtPr>
                              <w:sdtEndPr/>
                              <w:sdtContent>
                                <w:r>
                                  <w:t>[Type a quote from the document or the summary of an interesting point. You can position the text box anywhere in the document. Use the Drawing Tools tab to change the formatting of the pull quote text box.]</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5pt;margin-top:3.95pt;width:2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CMJgIAAEw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">
                <v:textbox>
                  <w:txbxContent>
                    <w:p w:rsidR="00BA6065" w:rsidRDefault="00BA6065" w:rsidP="000B6DF7">
                      <w:r>
                        <w:t>a</w:t>
                      </w:r>
                      <w:sdt>
                        <w:sdtPr>
                          <w:id w:val="1031231005"/>
                          <w:temporary/>
                          <w:showingPlcHdr/>
                        </w:sdtPr>
                        <w:sdtEndPr/>
                        <w:sdtContent>
                          <w:r>
                            <w:t>[Type a quote from the document or the summary of an interesting point. You can position the text box anywhere in the document. Use the Drawing Tools tab to change the formatting of the pull quote text box.]</w:t>
                          </w:r>
                        </w:sdtContent>
                      </w:sdt>
                    </w:p>
                  </w:txbxContent>
                </v:textbox>
              </v:shape>
            </w:pict>
          </mc:Fallback>
        </mc:AlternateContent>
      </w:r>
      <w:r w:rsidRPr="008234DB">
        <w:rPr>
          <w:rFonts w:cs="Arial"/>
          <w:noProof/>
          <w:lang w:val="en-NZ" w:eastAsia="en-NZ" w:bidi="ar-SA"/>
        </w:rPr>
        <w:drawing>
          <wp:inline distT="0" distB="0" distL="0" distR="0" wp14:anchorId="7B54273F" wp14:editId="66729139">
            <wp:extent cx="1447800" cy="1447800"/>
            <wp:effectExtent l="0" t="0" r="0" b="0"/>
            <wp:docPr id="5" name="Picture 5" descr="C:\Users\fletcn\Desktop\fatty aci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letcn\Desktop\fatty acid.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sidRPr="008234DB">
        <w:rPr>
          <w:noProof/>
          <w:lang w:val="en-NZ" w:eastAsia="en-NZ" w:bidi="ar-SA"/>
        </w:rPr>
        <w:drawing>
          <wp:inline distT="0" distB="0" distL="0" distR="0" wp14:anchorId="543A22C7" wp14:editId="55551BC9">
            <wp:extent cx="2193994" cy="1457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grayscl/>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92799" cy="1456531"/>
                    </a:xfrm>
                    <a:prstGeom prst="rect">
                      <a:avLst/>
                    </a:prstGeom>
                    <a:noFill/>
                    <a:ln>
                      <a:noFill/>
                    </a:ln>
                  </pic:spPr>
                </pic:pic>
              </a:graphicData>
            </a:graphic>
          </wp:inline>
        </w:drawing>
      </w:r>
      <w:r w:rsidRPr="008234DB">
        <w:rPr>
          <w:noProof/>
          <w:lang w:val="en-NZ" w:eastAsia="en-NZ" w:bidi="ar-SA"/>
        </w:rPr>
        <w:drawing>
          <wp:inline distT="0" distB="0" distL="0" distR="0" wp14:anchorId="3D17D2A6" wp14:editId="55F901F8">
            <wp:extent cx="1874817" cy="1476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grayscl/>
                      <a:extLst>
                        <a:ext uri="{28A0092B-C50C-407E-A947-70E740481C1C}">
                          <a14:useLocalDpi xmlns:a14="http://schemas.microsoft.com/office/drawing/2010/main" val="0"/>
                        </a:ext>
                      </a:extLst>
                    </a:blip>
                    <a:srcRect/>
                    <a:stretch>
                      <a:fillRect/>
                    </a:stretch>
                  </pic:blipFill>
                  <pic:spPr bwMode="auto">
                    <a:xfrm>
                      <a:off x="0" y="0"/>
                      <a:ext cx="1875164" cy="1476649"/>
                    </a:xfrm>
                    <a:prstGeom prst="rect">
                      <a:avLst/>
                    </a:prstGeom>
                    <a:noFill/>
                    <a:ln>
                      <a:noFill/>
                    </a:ln>
                  </pic:spPr>
                </pic:pic>
              </a:graphicData>
            </a:graphic>
          </wp:inline>
        </w:drawing>
      </w:r>
    </w:p>
    <w:p w:rsidR="000B6DF7" w:rsidRPr="008234DB" w:rsidRDefault="000B6DF7" w:rsidP="000B6DF7">
      <w:pPr>
        <w:autoSpaceDE w:val="0"/>
        <w:autoSpaceDN w:val="0"/>
        <w:adjustRightInd w:val="0"/>
        <w:rPr>
          <w:rFonts w:cs="Arial"/>
        </w:rPr>
      </w:pPr>
    </w:p>
    <w:p w:rsidR="000B6DF7" w:rsidRPr="008234DB" w:rsidRDefault="000B6DF7" w:rsidP="000B6DF7">
      <w:pPr>
        <w:autoSpaceDE w:val="0"/>
        <w:autoSpaceDN w:val="0"/>
        <w:adjustRightInd w:val="0"/>
        <w:rPr>
          <w:rFonts w:cs="Arial"/>
          <w:b/>
        </w:rPr>
      </w:pPr>
      <w:r w:rsidRPr="008234DB">
        <w:rPr>
          <w:rFonts w:cs="Arial"/>
          <w:b/>
        </w:rPr>
        <w:t xml:space="preserve">Figure </w:t>
      </w:r>
      <w:r>
        <w:rPr>
          <w:rFonts w:cs="Arial"/>
          <w:b/>
        </w:rPr>
        <w:t>A1.</w:t>
      </w:r>
      <w:r w:rsidRPr="008234DB">
        <w:rPr>
          <w:rFonts w:cs="Arial"/>
          <w:b/>
        </w:rPr>
        <w:t xml:space="preserve">1: </w:t>
      </w:r>
      <w:r w:rsidRPr="00C51EC7">
        <w:rPr>
          <w:rFonts w:cs="Arial"/>
        </w:rPr>
        <w:t>Structure of: (a) saturated fatty acid, (b) monounsaturated fatty acid, and (c) polyunsaturated fatty acid</w:t>
      </w:r>
      <w:r w:rsidRPr="00C51EC7">
        <w:t xml:space="preserve"> </w:t>
      </w:r>
      <w:r w:rsidRPr="00C51EC7">
        <w:rPr>
          <w:rFonts w:cs="Arial"/>
        </w:rPr>
        <w:t>Images: from Pubchem</w:t>
      </w:r>
    </w:p>
    <w:p w:rsidR="000B6DF7" w:rsidRPr="008234DB" w:rsidRDefault="000B6DF7" w:rsidP="000B6DF7">
      <w:pPr>
        <w:autoSpaceDE w:val="0"/>
        <w:autoSpaceDN w:val="0"/>
        <w:adjustRightInd w:val="0"/>
        <w:rPr>
          <w:rFonts w:cs="Arial"/>
        </w:rPr>
      </w:pPr>
    </w:p>
    <w:p w:rsidR="000B6DF7" w:rsidRPr="008234DB" w:rsidRDefault="000B6DF7" w:rsidP="000B6DF7">
      <w:pPr>
        <w:autoSpaceDE w:val="0"/>
        <w:autoSpaceDN w:val="0"/>
        <w:adjustRightInd w:val="0"/>
        <w:rPr>
          <w:rFonts w:cs="Arial"/>
        </w:rPr>
      </w:pPr>
      <w:r w:rsidRPr="008234DB">
        <w:rPr>
          <w:rFonts w:cs="Arial"/>
        </w:rPr>
        <w:t xml:space="preserve">In the rarer </w:t>
      </w:r>
      <w:r w:rsidRPr="00DA53F1">
        <w:rPr>
          <w:rFonts w:cs="Arial"/>
          <w:i/>
          <w:iCs/>
        </w:rPr>
        <w:t>trans</w:t>
      </w:r>
      <w:r w:rsidRPr="008234DB">
        <w:rPr>
          <w:rFonts w:cs="Arial"/>
          <w:i/>
          <w:iCs/>
        </w:rPr>
        <w:t xml:space="preserve"> </w:t>
      </w:r>
      <w:r w:rsidRPr="008234DB">
        <w:rPr>
          <w:rFonts w:cs="Arial"/>
        </w:rPr>
        <w:t xml:space="preserve">configuration, the hydrogen atoms on the double bond are opposite each other, rather than oriented in the same direction. The insertion of a </w:t>
      </w:r>
      <w:r w:rsidRPr="008234DB">
        <w:rPr>
          <w:rFonts w:cs="Arial"/>
          <w:i/>
        </w:rPr>
        <w:t>cis</w:t>
      </w:r>
      <w:r w:rsidRPr="008234DB">
        <w:rPr>
          <w:rFonts w:cs="Arial"/>
        </w:rPr>
        <w:t xml:space="preserve"> double bond has a dramatic effect on the shape of the molecule, introducing a kink in</w:t>
      </w:r>
      <w:r>
        <w:rPr>
          <w:rFonts w:cs="Arial"/>
        </w:rPr>
        <w:t>to an otherwise straight chain</w:t>
      </w:r>
      <w:r w:rsidRPr="008234DB">
        <w:rPr>
          <w:rFonts w:cs="Arial"/>
        </w:rPr>
        <w:t xml:space="preserve">. However, inserting a </w:t>
      </w:r>
      <w:r w:rsidRPr="00DA53F1">
        <w:rPr>
          <w:rFonts w:cs="Arial"/>
          <w:i/>
          <w:iCs/>
        </w:rPr>
        <w:t>trans</w:t>
      </w:r>
      <w:r w:rsidRPr="008234DB">
        <w:rPr>
          <w:rFonts w:cs="Arial"/>
          <w:i/>
          <w:iCs/>
        </w:rPr>
        <w:t xml:space="preserve"> </w:t>
      </w:r>
      <w:r w:rsidRPr="008234DB">
        <w:rPr>
          <w:rFonts w:cs="Arial"/>
        </w:rPr>
        <w:t>double bond has very little effect</w:t>
      </w:r>
      <w:r>
        <w:rPr>
          <w:rFonts w:cs="Arial"/>
        </w:rPr>
        <w:t xml:space="preserve"> on the configuration</w:t>
      </w:r>
      <w:r w:rsidRPr="008234DB">
        <w:rPr>
          <w:rFonts w:cs="Arial"/>
        </w:rPr>
        <w:t xml:space="preserve">. This </w:t>
      </w:r>
      <w:r>
        <w:rPr>
          <w:rFonts w:cs="Arial"/>
        </w:rPr>
        <w:t xml:space="preserve">difference in configuration </w:t>
      </w:r>
      <w:r w:rsidRPr="008234DB">
        <w:rPr>
          <w:rFonts w:cs="Arial"/>
        </w:rPr>
        <w:t xml:space="preserve">accounts for the different chemical and physical properties of </w:t>
      </w:r>
      <w:r w:rsidRPr="00DA53F1">
        <w:rPr>
          <w:rFonts w:cs="Arial"/>
          <w:i/>
          <w:iCs/>
        </w:rPr>
        <w:t>trans</w:t>
      </w:r>
      <w:r w:rsidRPr="008234DB">
        <w:rPr>
          <w:rFonts w:cs="Arial"/>
          <w:i/>
          <w:iCs/>
        </w:rPr>
        <w:t xml:space="preserve"> </w:t>
      </w:r>
      <w:r w:rsidRPr="008234DB">
        <w:rPr>
          <w:rFonts w:cs="Arial"/>
        </w:rPr>
        <w:t xml:space="preserve">and </w:t>
      </w:r>
      <w:r w:rsidRPr="008234DB">
        <w:rPr>
          <w:rFonts w:cs="Arial"/>
          <w:i/>
          <w:iCs/>
        </w:rPr>
        <w:t xml:space="preserve">cis </w:t>
      </w:r>
      <w:r w:rsidRPr="008234DB">
        <w:rPr>
          <w:rFonts w:cs="Arial"/>
        </w:rPr>
        <w:t>fatty acids</w:t>
      </w:r>
      <w:r>
        <w:rPr>
          <w:rFonts w:cs="Arial"/>
        </w:rPr>
        <w:t>,</w:t>
      </w:r>
      <w:r w:rsidRPr="008234DB">
        <w:rPr>
          <w:rFonts w:cs="Arial"/>
        </w:rPr>
        <w:t xml:space="preserve"> and may also result in a difference in the biological </w:t>
      </w:r>
      <w:r>
        <w:rPr>
          <w:rFonts w:cs="Arial"/>
        </w:rPr>
        <w:t>activity</w:t>
      </w:r>
      <w:r w:rsidRPr="008234DB">
        <w:rPr>
          <w:rFonts w:cs="Arial"/>
        </w:rPr>
        <w:t xml:space="preserve">. </w:t>
      </w:r>
    </w:p>
    <w:p w:rsidR="000B6DF7" w:rsidRPr="008234DB" w:rsidRDefault="000B6DF7" w:rsidP="000B6DF7">
      <w:pPr>
        <w:autoSpaceDE w:val="0"/>
        <w:autoSpaceDN w:val="0"/>
        <w:adjustRightInd w:val="0"/>
        <w:rPr>
          <w:rFonts w:cs="Arial"/>
        </w:rPr>
      </w:pPr>
    </w:p>
    <w:p w:rsidR="000B6DF7" w:rsidRDefault="000B6DF7" w:rsidP="000B6DF7">
      <w:pPr>
        <w:autoSpaceDE w:val="0"/>
        <w:autoSpaceDN w:val="0"/>
        <w:adjustRightInd w:val="0"/>
        <w:rPr>
          <w:rFonts w:cs="Arial"/>
        </w:rPr>
      </w:pPr>
      <w:r>
        <w:rPr>
          <w:rFonts w:cs="Arial"/>
        </w:rPr>
        <w:t>S</w:t>
      </w:r>
      <w:r w:rsidRPr="008234DB">
        <w:rPr>
          <w:rFonts w:cs="Arial"/>
        </w:rPr>
        <w:t>aturated fats such as lauric acid, myristic acid, palmitic acid and stearic acids consist of straight chains of carbon and hydrogen</w:t>
      </w:r>
      <w:r>
        <w:rPr>
          <w:rFonts w:cs="Arial"/>
        </w:rPr>
        <w:t>,</w:t>
      </w:r>
      <w:r w:rsidRPr="008234DB">
        <w:rPr>
          <w:rFonts w:cs="Arial"/>
        </w:rPr>
        <w:t xml:space="preserve"> and their tight packing results in high melting points. In contrast, because of the kink in fatty acids in the </w:t>
      </w:r>
      <w:r w:rsidRPr="008234DB">
        <w:rPr>
          <w:rFonts w:cs="Arial"/>
          <w:i/>
        </w:rPr>
        <w:t>cis</w:t>
      </w:r>
      <w:r w:rsidRPr="008234DB">
        <w:rPr>
          <w:rFonts w:cs="Arial"/>
        </w:rPr>
        <w:t xml:space="preserve">-configuration, unsaturated fatty acids are generally less tightly packed and tend to be liquids at room temperature. </w:t>
      </w:r>
      <w:r>
        <w:rPr>
          <w:rFonts w:cs="Arial"/>
        </w:rPr>
        <w:t>T</w:t>
      </w:r>
      <w:r w:rsidRPr="00DA53F1">
        <w:rPr>
          <w:rFonts w:cs="Arial"/>
        </w:rPr>
        <w:t xml:space="preserve">he melting point of </w:t>
      </w:r>
      <w:r w:rsidRPr="00DA53F1">
        <w:rPr>
          <w:rFonts w:cs="Arial"/>
          <w:i/>
        </w:rPr>
        <w:t>trans</w:t>
      </w:r>
      <w:r w:rsidRPr="00DA53F1">
        <w:rPr>
          <w:rFonts w:cs="Arial"/>
        </w:rPr>
        <w:t xml:space="preserve"> fatty acids tend to be intermediate between that of saturated and </w:t>
      </w:r>
      <w:r w:rsidRPr="00DA53F1">
        <w:rPr>
          <w:rFonts w:cs="Arial"/>
          <w:i/>
        </w:rPr>
        <w:t>cis</w:t>
      </w:r>
      <w:r w:rsidRPr="00DA53F1">
        <w:rPr>
          <w:rFonts w:cs="Arial"/>
        </w:rPr>
        <w:t xml:space="preserve"> fatty acids</w:t>
      </w:r>
      <w:r>
        <w:rPr>
          <w:rFonts w:cs="Arial"/>
        </w:rPr>
        <w:t xml:space="preserve"> because </w:t>
      </w:r>
      <w:r w:rsidRPr="008234DB">
        <w:rPr>
          <w:rFonts w:cs="Arial"/>
        </w:rPr>
        <w:t xml:space="preserve">the double bonds in </w:t>
      </w:r>
      <w:r w:rsidRPr="00DA53F1">
        <w:rPr>
          <w:rFonts w:cs="Arial"/>
          <w:i/>
        </w:rPr>
        <w:t>trans</w:t>
      </w:r>
      <w:r w:rsidRPr="008234DB">
        <w:rPr>
          <w:rFonts w:cs="Arial"/>
        </w:rPr>
        <w:t xml:space="preserve">-fatty acids are in a more linear formation that requires less space than the </w:t>
      </w:r>
      <w:r w:rsidRPr="008234DB">
        <w:rPr>
          <w:rFonts w:cs="Arial"/>
          <w:i/>
        </w:rPr>
        <w:t>cis</w:t>
      </w:r>
      <w:r w:rsidRPr="008234DB">
        <w:rPr>
          <w:rFonts w:cs="Arial"/>
        </w:rPr>
        <w:t>-double bond</w:t>
      </w:r>
      <w:r>
        <w:rPr>
          <w:rFonts w:cs="Arial"/>
        </w:rPr>
        <w:t xml:space="preserve">. </w:t>
      </w:r>
    </w:p>
    <w:p w:rsidR="002A1A8B" w:rsidRDefault="002A1A8B" w:rsidP="000B6DF7">
      <w:pPr>
        <w:autoSpaceDE w:val="0"/>
        <w:autoSpaceDN w:val="0"/>
        <w:adjustRightInd w:val="0"/>
        <w:rPr>
          <w:rFonts w:cs="Arial"/>
        </w:rPr>
      </w:pPr>
    </w:p>
    <w:p w:rsidR="002A1A8B" w:rsidRPr="00122EF8" w:rsidRDefault="002A1A8B" w:rsidP="000B6DF7">
      <w:pPr>
        <w:autoSpaceDE w:val="0"/>
        <w:autoSpaceDN w:val="0"/>
        <w:adjustRightInd w:val="0"/>
        <w:rPr>
          <w:rFonts w:cs="Arial"/>
        </w:rPr>
      </w:pPr>
      <w:r>
        <w:rPr>
          <w:rFonts w:cs="Arial"/>
        </w:rPr>
        <w:t xml:space="preserve">FSANZ (2009) reviewed the use of edible oils which are solid and or semi-solid at room temperature. There is a great demand for such edible oils and to meet this need a process based on hydrogenation of unsaturated (liquid) edible oils was developed. This process allows the conversion of liquid oils into semi-solid or plastic edible oils more suitable for specific applications, such as in shortenings and margarine, and improves the oxidative stability of the oils. For further detail see the FSANZ (2009) review. </w:t>
      </w:r>
    </w:p>
    <w:p w:rsidR="000B6DF7" w:rsidRPr="008234DB" w:rsidRDefault="000B6DF7" w:rsidP="000B6DF7">
      <w:pPr>
        <w:rPr>
          <w:b/>
          <w:highlight w:val="yellow"/>
        </w:rPr>
      </w:pPr>
    </w:p>
    <w:p w:rsidR="000B6DF7" w:rsidRPr="008234DB" w:rsidRDefault="000B6DF7" w:rsidP="000B6DF7">
      <w:pPr>
        <w:rPr>
          <w:rFonts w:cs="Arial"/>
          <w:b/>
        </w:rPr>
      </w:pPr>
      <w:r w:rsidRPr="008234DB">
        <w:rPr>
          <w:rFonts w:cs="Arial"/>
          <w:b/>
        </w:rPr>
        <w:lastRenderedPageBreak/>
        <w:t>Nomenclature of fatty acids</w:t>
      </w:r>
    </w:p>
    <w:p w:rsidR="000B6DF7" w:rsidRPr="008234DB" w:rsidRDefault="000B6DF7" w:rsidP="000B6DF7">
      <w:pPr>
        <w:rPr>
          <w:rFonts w:cs="Arial"/>
          <w:b/>
        </w:rPr>
      </w:pPr>
    </w:p>
    <w:p w:rsidR="000B6DF7" w:rsidRPr="008234DB" w:rsidRDefault="000B6DF7" w:rsidP="000B6DF7">
      <w:pPr>
        <w:autoSpaceDE w:val="0"/>
        <w:autoSpaceDN w:val="0"/>
        <w:adjustRightInd w:val="0"/>
        <w:rPr>
          <w:rFonts w:cs="Arial"/>
        </w:rPr>
      </w:pPr>
      <w:r w:rsidRPr="008234DB">
        <w:rPr>
          <w:rFonts w:cs="Arial"/>
        </w:rPr>
        <w:t>Fatty acids are often referred to by their common name e.g., ‘oleic acid’. Following the Geneva (IUPAC) system of chemical nomenclature, carbon atoms of fatty acid chains are numbered consecutively star</w:t>
      </w:r>
      <w:r w:rsidR="00686714">
        <w:rPr>
          <w:rFonts w:cs="Arial"/>
        </w:rPr>
        <w:t>t</w:t>
      </w:r>
      <w:r w:rsidRPr="008234DB">
        <w:rPr>
          <w:rFonts w:cs="Arial"/>
        </w:rPr>
        <w:t>ing with the carbon of the carboxyl group and continuing to the carbon in the terminal methoxy group. Their systematic name is based on the prefix describing the length of the carbon chain and if appropriate the position of any double bonds, such as ‘9-octadecenoic acid’ for oleic acid.</w:t>
      </w:r>
    </w:p>
    <w:p w:rsidR="000B6DF7" w:rsidRPr="008234DB" w:rsidRDefault="000B6DF7" w:rsidP="000B6DF7">
      <w:pPr>
        <w:autoSpaceDE w:val="0"/>
        <w:autoSpaceDN w:val="0"/>
        <w:adjustRightInd w:val="0"/>
        <w:rPr>
          <w:rFonts w:cs="Arial"/>
        </w:rPr>
      </w:pPr>
    </w:p>
    <w:p w:rsidR="000B6DF7" w:rsidRPr="008234DB" w:rsidRDefault="000B6DF7" w:rsidP="000B6DF7">
      <w:pPr>
        <w:autoSpaceDE w:val="0"/>
        <w:autoSpaceDN w:val="0"/>
        <w:adjustRightInd w:val="0"/>
        <w:rPr>
          <w:rFonts w:cs="Arial"/>
        </w:rPr>
      </w:pPr>
      <w:r w:rsidRPr="008234DB">
        <w:rPr>
          <w:rFonts w:cs="Arial"/>
        </w:rPr>
        <w:t>For convenience, fatty acids are commonly referred to as based on the number of carbons</w:t>
      </w:r>
      <w:r w:rsidR="00BF1E9A">
        <w:rPr>
          <w:rFonts w:cs="Arial"/>
        </w:rPr>
        <w:t xml:space="preserve"> </w:t>
      </w:r>
      <w:r w:rsidRPr="008234DB">
        <w:rPr>
          <w:rFonts w:cs="Arial"/>
        </w:rPr>
        <w:t xml:space="preserve">and the number of double bonds in the molecule. For example, the saturated fatty acid palmitic acid is referred to as ‘C16:0’, the MUFA oleic acid as ‘18:1’, and the triple double bond PUFA linolenic acid as ‘C18:3’. In addition, the position of the double bonds can be shown after the symbol ‘Δ’ or within brackets, for example α-linolenic acid (9, 12, 15- octadecatrienoic acid) can be written as ‘18:3 Δ 9, 12, 15’ or ‘18:3 (9, 12, 15)’ </w:t>
      </w:r>
    </w:p>
    <w:p w:rsidR="000B6DF7" w:rsidRPr="008234DB" w:rsidRDefault="000B6DF7" w:rsidP="000B6DF7">
      <w:pPr>
        <w:autoSpaceDE w:val="0"/>
        <w:autoSpaceDN w:val="0"/>
        <w:adjustRightInd w:val="0"/>
        <w:rPr>
          <w:rFonts w:cs="Arial"/>
        </w:rPr>
      </w:pPr>
    </w:p>
    <w:p w:rsidR="000B6DF7" w:rsidRPr="008234DB" w:rsidRDefault="000B6DF7" w:rsidP="000B6DF7">
      <w:pPr>
        <w:autoSpaceDE w:val="0"/>
        <w:autoSpaceDN w:val="0"/>
        <w:adjustRightInd w:val="0"/>
        <w:rPr>
          <w:rFonts w:cs="Arial"/>
        </w:rPr>
      </w:pPr>
      <w:r w:rsidRPr="008234DB">
        <w:rPr>
          <w:rFonts w:cs="Arial"/>
        </w:rPr>
        <w:t xml:space="preserve">The status of the double bond can be specified as </w:t>
      </w:r>
      <w:r w:rsidRPr="008234DB">
        <w:rPr>
          <w:rFonts w:cs="Arial"/>
          <w:i/>
          <w:iCs/>
        </w:rPr>
        <w:t xml:space="preserve">cis </w:t>
      </w:r>
      <w:r w:rsidRPr="008234DB">
        <w:rPr>
          <w:rFonts w:cs="Arial"/>
        </w:rPr>
        <w:t xml:space="preserve">or </w:t>
      </w:r>
      <w:r w:rsidRPr="00DA53F1">
        <w:rPr>
          <w:rFonts w:cs="Arial"/>
          <w:i/>
          <w:iCs/>
        </w:rPr>
        <w:t>trans</w:t>
      </w:r>
      <w:r w:rsidRPr="008234DB">
        <w:rPr>
          <w:rFonts w:cs="Arial"/>
          <w:i/>
          <w:iCs/>
        </w:rPr>
        <w:t xml:space="preserve"> </w:t>
      </w:r>
      <w:r w:rsidRPr="008234DB">
        <w:rPr>
          <w:rFonts w:cs="Arial"/>
        </w:rPr>
        <w:t>as an additional prefix to the name, as in ‘</w:t>
      </w:r>
      <w:r w:rsidRPr="008234DB">
        <w:rPr>
          <w:rFonts w:cs="Arial"/>
          <w:i/>
          <w:iCs/>
        </w:rPr>
        <w:t>cis</w:t>
      </w:r>
      <w:r w:rsidRPr="008234DB">
        <w:rPr>
          <w:rFonts w:cs="Arial"/>
        </w:rPr>
        <w:t xml:space="preserve">-9-octadecenoic acid’, or given as part of the shorthand: 18:2 (tr9, tr 12) for linolelaidic acid. </w:t>
      </w:r>
    </w:p>
    <w:p w:rsidR="000B6DF7" w:rsidRDefault="000B6DF7" w:rsidP="000B6DF7">
      <w:pPr>
        <w:autoSpaceDE w:val="0"/>
        <w:autoSpaceDN w:val="0"/>
        <w:adjustRightInd w:val="0"/>
        <w:rPr>
          <w:rFonts w:cs="Arial"/>
        </w:rPr>
      </w:pPr>
    </w:p>
    <w:p w:rsidR="000B6DF7" w:rsidRDefault="000B6DF7" w:rsidP="000B6DF7">
      <w:pPr>
        <w:autoSpaceDE w:val="0"/>
        <w:autoSpaceDN w:val="0"/>
        <w:adjustRightInd w:val="0"/>
        <w:rPr>
          <w:rFonts w:cs="Arial"/>
        </w:rPr>
      </w:pPr>
      <w:r>
        <w:rPr>
          <w:rFonts w:cs="Arial"/>
        </w:rPr>
        <w:t>The origins and occurrence of SFA</w:t>
      </w:r>
      <w:r w:rsidR="00DE5E95">
        <w:rPr>
          <w:rFonts w:cs="Arial"/>
        </w:rPr>
        <w:t>s</w:t>
      </w:r>
      <w:r>
        <w:rPr>
          <w:rFonts w:cs="Arial"/>
        </w:rPr>
        <w:t>, MUFA</w:t>
      </w:r>
      <w:r w:rsidR="00DE5E95">
        <w:rPr>
          <w:rFonts w:cs="Arial"/>
        </w:rPr>
        <w:t>s</w:t>
      </w:r>
      <w:r>
        <w:rPr>
          <w:rFonts w:cs="Arial"/>
        </w:rPr>
        <w:t>, PUFA</w:t>
      </w:r>
      <w:r w:rsidR="00DE5E95">
        <w:rPr>
          <w:rFonts w:cs="Arial"/>
        </w:rPr>
        <w:t>s</w:t>
      </w:r>
      <w:r>
        <w:rPr>
          <w:rFonts w:cs="Arial"/>
        </w:rPr>
        <w:t xml:space="preserve"> an</w:t>
      </w:r>
      <w:r w:rsidR="00DE5E95">
        <w:rPr>
          <w:rFonts w:cs="Arial"/>
        </w:rPr>
        <w:t xml:space="preserve">d TFAs </w:t>
      </w:r>
      <w:r>
        <w:rPr>
          <w:rFonts w:cs="Arial"/>
        </w:rPr>
        <w:t xml:space="preserve">in foods is described in further detail below. The principal reference for this information is the Food and Agricultural Organisation (FAO) (2010) report on fats and fatty acids in human nutrition. The report is available at: </w:t>
      </w:r>
      <w:hyperlink r:id="rId36" w:history="1">
        <w:r w:rsidRPr="002B7BFB">
          <w:rPr>
            <w:rStyle w:val="Hyperlink"/>
            <w:rFonts w:cs="Arial"/>
          </w:rPr>
          <w:t>http://www.who.int/nutrition/topics/FFA_human_nutrition/en/</w:t>
        </w:r>
      </w:hyperlink>
      <w:r>
        <w:rPr>
          <w:rFonts w:cs="Arial"/>
        </w:rPr>
        <w:t xml:space="preserve">. </w:t>
      </w:r>
    </w:p>
    <w:p w:rsidR="000B6DF7" w:rsidRPr="008234DB" w:rsidRDefault="000B6DF7" w:rsidP="000B6DF7">
      <w:pPr>
        <w:autoSpaceDE w:val="0"/>
        <w:autoSpaceDN w:val="0"/>
        <w:adjustRightInd w:val="0"/>
        <w:rPr>
          <w:rFonts w:cs="Arial"/>
        </w:rPr>
      </w:pPr>
    </w:p>
    <w:p w:rsidR="000B6DF7" w:rsidRPr="008234DB" w:rsidRDefault="000B6DF7" w:rsidP="000B6DF7">
      <w:pPr>
        <w:rPr>
          <w:b/>
        </w:rPr>
      </w:pPr>
      <w:r w:rsidRPr="008234DB">
        <w:rPr>
          <w:b/>
        </w:rPr>
        <w:t>Saturated fatty acids</w:t>
      </w:r>
    </w:p>
    <w:p w:rsidR="000B6DF7" w:rsidRPr="008234DB" w:rsidRDefault="000B6DF7" w:rsidP="000B6DF7">
      <w:pPr>
        <w:rPr>
          <w:b/>
        </w:rPr>
      </w:pPr>
    </w:p>
    <w:p w:rsidR="000B6DF7" w:rsidRPr="008234DB" w:rsidRDefault="000B6DF7" w:rsidP="000B6DF7">
      <w:r w:rsidRPr="008234DB">
        <w:t xml:space="preserve">SFAs are typically divided into four sub-classes according to chain length; short-chain fatty acids (three to seven carbon atoms), medium-chain fatty acids (eight to thirteen carbon atoms), long-chain fatty acids (fourteen to twenty carbon atoms) and very-long chain fatty acids (21 or more carbon atoms). </w:t>
      </w:r>
    </w:p>
    <w:p w:rsidR="000B6DF7" w:rsidRPr="008234DB" w:rsidRDefault="000B6DF7" w:rsidP="004A3B4D">
      <w:pPr>
        <w:tabs>
          <w:tab w:val="left" w:pos="2201"/>
        </w:tabs>
      </w:pPr>
    </w:p>
    <w:p w:rsidR="000B6DF7" w:rsidRPr="008234DB" w:rsidRDefault="000B6DF7" w:rsidP="000B6DF7">
      <w:r w:rsidRPr="008234DB">
        <w:t xml:space="preserve">The common and systemic names, abbreviation and dietary sources of some important dietary </w:t>
      </w:r>
      <w:r w:rsidR="00DE5E95">
        <w:t>SFAs</w:t>
      </w:r>
      <w:r w:rsidRPr="008234DB">
        <w:t xml:space="preserve"> are briefly summarised below: </w:t>
      </w:r>
    </w:p>
    <w:p w:rsidR="000B6DF7" w:rsidRPr="008234DB" w:rsidRDefault="000B6DF7" w:rsidP="000B6DF7"/>
    <w:p w:rsidR="000B6DF7" w:rsidRPr="008234DB" w:rsidRDefault="000B6DF7" w:rsidP="00DE5E95">
      <w:pPr>
        <w:widowControl/>
        <w:numPr>
          <w:ilvl w:val="0"/>
          <w:numId w:val="7"/>
        </w:numPr>
        <w:ind w:left="567" w:hanging="567"/>
        <w:contextualSpacing/>
      </w:pPr>
      <w:r w:rsidRPr="008234DB">
        <w:t xml:space="preserve">Butyric acid and caproic acid are the most important short chain fatty acids and occur in milk fats. </w:t>
      </w:r>
    </w:p>
    <w:p w:rsidR="000B6DF7" w:rsidRPr="008234DB" w:rsidRDefault="000B6DF7" w:rsidP="00DE5E95">
      <w:pPr>
        <w:widowControl/>
        <w:numPr>
          <w:ilvl w:val="0"/>
          <w:numId w:val="7"/>
        </w:numPr>
        <w:ind w:left="567" w:hanging="567"/>
        <w:contextualSpacing/>
      </w:pPr>
      <w:r w:rsidRPr="008234DB">
        <w:t>Capr</w:t>
      </w:r>
      <w:r w:rsidR="00F10AA4">
        <w:t>yli</w:t>
      </w:r>
      <w:r w:rsidRPr="008234DB">
        <w:t xml:space="preserve">c acid and capric acid are medium chain fatty acids that are found in milk fats. Lauric acid is found in coconut and palm kernels. </w:t>
      </w:r>
    </w:p>
    <w:p w:rsidR="000B6DF7" w:rsidRPr="008234DB" w:rsidRDefault="000B6DF7" w:rsidP="00DE5E95">
      <w:pPr>
        <w:widowControl/>
        <w:numPr>
          <w:ilvl w:val="0"/>
          <w:numId w:val="7"/>
        </w:numPr>
        <w:ind w:left="567" w:hanging="567"/>
        <w:contextualSpacing/>
      </w:pPr>
      <w:r w:rsidRPr="008234DB">
        <w:t xml:space="preserve">Palmitic acid is the most widely occurring long-chain fatty acid and is present in most fat examined. Stearic acid is less common than palmitic acid but is also present in most vegetable and animal fats. </w:t>
      </w:r>
    </w:p>
    <w:p w:rsidR="000B6DF7" w:rsidRPr="008234DB" w:rsidRDefault="000B6DF7" w:rsidP="00DE5E95">
      <w:pPr>
        <w:widowControl/>
        <w:numPr>
          <w:ilvl w:val="0"/>
          <w:numId w:val="7"/>
        </w:numPr>
        <w:ind w:left="567" w:hanging="567"/>
        <w:contextualSpacing/>
      </w:pPr>
      <w:r w:rsidRPr="008234DB">
        <w:t xml:space="preserve">Behenic acid and lignoceric acid are the most common very-long chain fatty acids in the diet, but are usually present at very low concentrations. </w:t>
      </w:r>
    </w:p>
    <w:p w:rsidR="000B6DF7" w:rsidRPr="008234DB" w:rsidRDefault="000B6DF7" w:rsidP="000B6DF7"/>
    <w:p w:rsidR="000B6DF7" w:rsidRPr="00260C1F" w:rsidRDefault="000B6DF7" w:rsidP="000B6DF7">
      <w:pPr>
        <w:rPr>
          <w:b/>
        </w:rPr>
      </w:pPr>
      <w:r w:rsidRPr="00260C1F">
        <w:rPr>
          <w:b/>
        </w:rPr>
        <w:t>Monounsaturated fatty acids</w:t>
      </w:r>
    </w:p>
    <w:p w:rsidR="000B6DF7" w:rsidRDefault="000B6DF7" w:rsidP="000B6DF7"/>
    <w:p w:rsidR="000B6DF7" w:rsidRPr="008234DB" w:rsidRDefault="000B6DF7" w:rsidP="000B6DF7">
      <w:r w:rsidRPr="008234DB">
        <w:t>MUFA</w:t>
      </w:r>
      <w:r w:rsidR="00DE5E95">
        <w:t>s</w:t>
      </w:r>
      <w:r w:rsidRPr="008234DB">
        <w:t xml:space="preserve"> in food are predominately found in the </w:t>
      </w:r>
      <w:r w:rsidRPr="008234DB">
        <w:rPr>
          <w:i/>
        </w:rPr>
        <w:t>cis</w:t>
      </w:r>
      <w:r w:rsidRPr="008234DB">
        <w:t xml:space="preserve">-configuration which introduces a characteristic U-shaped bend or kink in the molecule. This means that these fatty acids are less tightly packed than saturated fatty acids, generally have melting points lower than those of </w:t>
      </w:r>
      <w:r w:rsidR="00DE5E95">
        <w:t>SFAs</w:t>
      </w:r>
      <w:r w:rsidRPr="008234DB">
        <w:t xml:space="preserve"> and exist as liquids at room temperature. As a result of the double bond, MUFA</w:t>
      </w:r>
      <w:r w:rsidR="00DE5E95">
        <w:t>s</w:t>
      </w:r>
      <w:r w:rsidRPr="008234DB">
        <w:t xml:space="preserve"> are also more chemically reactive than </w:t>
      </w:r>
      <w:r w:rsidR="00DE5E95">
        <w:t>SFAs</w:t>
      </w:r>
      <w:r w:rsidRPr="008234DB">
        <w:t xml:space="preserve">.  </w:t>
      </w:r>
    </w:p>
    <w:p w:rsidR="000B6DF7" w:rsidRPr="008234DB" w:rsidRDefault="000B6DF7" w:rsidP="000B6DF7">
      <w:pPr>
        <w:rPr>
          <w:sz w:val="16"/>
          <w:szCs w:val="16"/>
        </w:rPr>
      </w:pPr>
    </w:p>
    <w:p w:rsidR="000B6DF7" w:rsidRDefault="000B6DF7" w:rsidP="000B6DF7">
      <w:r w:rsidRPr="008234DB">
        <w:t>The most common dietary MUFA</w:t>
      </w:r>
      <w:r w:rsidR="00DE5E95">
        <w:t>s</w:t>
      </w:r>
      <w:r w:rsidRPr="008234DB">
        <w:t xml:space="preserve"> are of chain length C14 – C24; the double bond is most likely to be located at the n-9 position. Some MUFA found in the diet </w:t>
      </w:r>
      <w:r>
        <w:t xml:space="preserve">include: </w:t>
      </w:r>
    </w:p>
    <w:p w:rsidR="000B6DF7" w:rsidRPr="008234DB" w:rsidRDefault="000B6DF7" w:rsidP="000B6DF7"/>
    <w:p w:rsidR="000B6DF7" w:rsidRPr="008234DB" w:rsidRDefault="000B6DF7" w:rsidP="00EF39D5">
      <w:pPr>
        <w:widowControl/>
        <w:numPr>
          <w:ilvl w:val="0"/>
          <w:numId w:val="8"/>
        </w:numPr>
        <w:contextualSpacing/>
      </w:pPr>
      <w:r w:rsidRPr="008234DB">
        <w:t xml:space="preserve">Oleic acid, the most common of the MUFA is commonly associated with small amounts of </w:t>
      </w:r>
      <w:r w:rsidRPr="008234DB">
        <w:rPr>
          <w:i/>
        </w:rPr>
        <w:t>cis</w:t>
      </w:r>
      <w:r w:rsidRPr="008234DB">
        <w:t xml:space="preserve">-vaccenic acid, the 11 </w:t>
      </w:r>
      <w:r w:rsidRPr="008234DB">
        <w:rPr>
          <w:i/>
        </w:rPr>
        <w:t>cis</w:t>
      </w:r>
      <w:r w:rsidRPr="008234DB">
        <w:t xml:space="preserve"> isomer of oleic acid. Other </w:t>
      </w:r>
      <w:r w:rsidRPr="008234DB">
        <w:rPr>
          <w:i/>
        </w:rPr>
        <w:t>cis</w:t>
      </w:r>
      <w:r w:rsidRPr="008234DB">
        <w:t xml:space="preserve"> MUFAs are often widely distributed in plants and animal tissues but represent only a minor component in the diet. </w:t>
      </w:r>
    </w:p>
    <w:p w:rsidR="000B6DF7" w:rsidRPr="008449DC" w:rsidRDefault="000B6DF7" w:rsidP="00EF39D5">
      <w:pPr>
        <w:widowControl/>
        <w:numPr>
          <w:ilvl w:val="0"/>
          <w:numId w:val="8"/>
        </w:numPr>
        <w:contextualSpacing/>
      </w:pPr>
      <w:r w:rsidRPr="008234DB">
        <w:t xml:space="preserve">Erucic acid occurs at significant levels in some culinary oils derived from Brassica, </w:t>
      </w:r>
      <w:r w:rsidRPr="008449DC">
        <w:t xml:space="preserve">but these oils are generally consumed only in some parts of Asia and Europe. Nervonic acid has been reported to present as a minor constituent in many marine oils. </w:t>
      </w:r>
    </w:p>
    <w:p w:rsidR="000B6DF7" w:rsidRDefault="000B6DF7" w:rsidP="000B6DF7"/>
    <w:p w:rsidR="000B6DF7" w:rsidRPr="00260C1F" w:rsidRDefault="000B6DF7" w:rsidP="000B6DF7">
      <w:pPr>
        <w:rPr>
          <w:b/>
        </w:rPr>
      </w:pPr>
      <w:r w:rsidRPr="00260C1F">
        <w:rPr>
          <w:b/>
        </w:rPr>
        <w:t>Polyunsaturated fatty acids</w:t>
      </w:r>
    </w:p>
    <w:p w:rsidR="000B6DF7" w:rsidRDefault="000B6DF7" w:rsidP="000B6DF7"/>
    <w:p w:rsidR="000B6DF7" w:rsidRPr="008234DB" w:rsidRDefault="000B6DF7" w:rsidP="000B6DF7">
      <w:r w:rsidRPr="008234DB">
        <w:t>PUFA</w:t>
      </w:r>
      <w:r w:rsidR="00DE5E95">
        <w:t>s</w:t>
      </w:r>
      <w:r w:rsidRPr="008234DB">
        <w:t xml:space="preserve"> contain more than one double bond. In almost all naturally occurring PUFA</w:t>
      </w:r>
      <w:r w:rsidR="00DE5E95">
        <w:t>s</w:t>
      </w:r>
      <w:r w:rsidRPr="008234DB">
        <w:t xml:space="preserve">, the double bonds are in the </w:t>
      </w:r>
      <w:r w:rsidRPr="008234DB">
        <w:rPr>
          <w:i/>
        </w:rPr>
        <w:t>cis</w:t>
      </w:r>
      <w:r w:rsidRPr="008234DB">
        <w:t xml:space="preserve"> configuration, separated by a methylene group, and typically positioned at the 3</w:t>
      </w:r>
      <w:r w:rsidRPr="008234DB">
        <w:rPr>
          <w:vertAlign w:val="superscript"/>
        </w:rPr>
        <w:t>rd</w:t>
      </w:r>
      <w:r w:rsidRPr="008234DB">
        <w:t>, 6</w:t>
      </w:r>
      <w:r w:rsidRPr="008234DB">
        <w:rPr>
          <w:vertAlign w:val="superscript"/>
        </w:rPr>
        <w:t>th</w:t>
      </w:r>
      <w:r w:rsidRPr="008234DB">
        <w:t xml:space="preserve"> or 9</w:t>
      </w:r>
      <w:r w:rsidRPr="008234DB">
        <w:rPr>
          <w:vertAlign w:val="superscript"/>
        </w:rPr>
        <w:t>th</w:t>
      </w:r>
      <w:r w:rsidRPr="008234DB">
        <w:t xml:space="preserve"> carbon atom from the terminal methyl group. </w:t>
      </w:r>
    </w:p>
    <w:p w:rsidR="000B6DF7" w:rsidRPr="008234DB" w:rsidRDefault="000B6DF7" w:rsidP="000B6DF7"/>
    <w:p w:rsidR="000B6DF7" w:rsidRPr="008234DB" w:rsidRDefault="000B6DF7" w:rsidP="000B6DF7">
      <w:r w:rsidRPr="008234DB">
        <w:t>The most important PUFA families in human health and nutrition are the n-6 and n-3 families since humans lack the necessary enzymes to introduce double bonds in these positions, respectively. As a result, alpha-linol</w:t>
      </w:r>
      <w:r w:rsidR="00F10AA4">
        <w:t>enic acid, 18:3, n-3 and linole</w:t>
      </w:r>
      <w:r w:rsidRPr="008234DB">
        <w:t>ic acid, 18:2, n-6 are essential to the diet. These compounds are necessary for humans to produce highly unsaturated fatty acids which are critical to a diverse range of functions.</w:t>
      </w:r>
    </w:p>
    <w:p w:rsidR="000B6DF7" w:rsidRPr="008234DB" w:rsidRDefault="000B6DF7" w:rsidP="000B6DF7"/>
    <w:p w:rsidR="000B6DF7" w:rsidRPr="008234DB" w:rsidRDefault="000B6DF7" w:rsidP="000B6DF7">
      <w:r w:rsidRPr="008234DB">
        <w:t>Some common or nutritionally important PUFA</w:t>
      </w:r>
      <w:r w:rsidR="00DE5E95">
        <w:t>s</w:t>
      </w:r>
      <w:r w:rsidRPr="008234DB">
        <w:t xml:space="preserve"> </w:t>
      </w:r>
      <w:r>
        <w:t>that occur in the diet include</w:t>
      </w:r>
      <w:r w:rsidRPr="008234DB">
        <w:t xml:space="preserve">: </w:t>
      </w:r>
    </w:p>
    <w:p w:rsidR="000B6DF7" w:rsidRPr="008234DB" w:rsidRDefault="000B6DF7" w:rsidP="000B6DF7"/>
    <w:p w:rsidR="000B6DF7" w:rsidRPr="008234DB" w:rsidRDefault="000B6DF7" w:rsidP="00DE5E95">
      <w:pPr>
        <w:widowControl/>
        <w:numPr>
          <w:ilvl w:val="0"/>
          <w:numId w:val="6"/>
        </w:numPr>
        <w:ind w:left="567" w:hanging="567"/>
        <w:contextualSpacing/>
      </w:pPr>
      <w:r w:rsidRPr="008234DB">
        <w:t xml:space="preserve">Linoleic acid (18:2 n-6) is reported to occur in virtually all fats and is found at high levels in vegetable oils. </w:t>
      </w:r>
    </w:p>
    <w:p w:rsidR="000B6DF7" w:rsidRPr="008234DB" w:rsidRDefault="000B6DF7" w:rsidP="00DE5E95">
      <w:pPr>
        <w:widowControl/>
        <w:numPr>
          <w:ilvl w:val="0"/>
          <w:numId w:val="6"/>
        </w:numPr>
        <w:ind w:left="567" w:hanging="567"/>
        <w:contextualSpacing/>
      </w:pPr>
      <w:r w:rsidRPr="008234DB">
        <w:t xml:space="preserve">Arachidonic acid (20:4 n-6) is a major component of membrane phospholipids in animals – fish and lean meat have been reported to be good sources of arachidonic acid. </w:t>
      </w:r>
    </w:p>
    <w:p w:rsidR="000B6DF7" w:rsidRPr="008234DB" w:rsidRDefault="000B6DF7" w:rsidP="00DE5E95">
      <w:pPr>
        <w:widowControl/>
        <w:numPr>
          <w:ilvl w:val="0"/>
          <w:numId w:val="6"/>
        </w:numPr>
        <w:ind w:left="567" w:hanging="567"/>
        <w:contextualSpacing/>
        <w:rPr>
          <w:b/>
        </w:rPr>
      </w:pPr>
      <w:r w:rsidRPr="008234DB">
        <w:t>Of the omega-3</w:t>
      </w:r>
      <w:r>
        <w:t xml:space="preserve"> fatty acids, alpha-l</w:t>
      </w:r>
      <w:r w:rsidRPr="008234DB">
        <w:t xml:space="preserve">inolenic acid (18:3 n-3) is found at high levels in flaxseed oil and perilla oil. It is also found in canola and soybean oils. </w:t>
      </w:r>
    </w:p>
    <w:p w:rsidR="000B6DF7" w:rsidRPr="008234DB" w:rsidRDefault="000B6DF7" w:rsidP="000B6DF7">
      <w:pPr>
        <w:ind w:left="360"/>
        <w:rPr>
          <w:b/>
        </w:rPr>
      </w:pPr>
    </w:p>
    <w:p w:rsidR="000B6DF7" w:rsidRPr="008234DB" w:rsidRDefault="000B6DF7" w:rsidP="000B6DF7">
      <w:pPr>
        <w:rPr>
          <w:b/>
        </w:rPr>
      </w:pPr>
      <w:r w:rsidRPr="00DA53F1">
        <w:rPr>
          <w:b/>
          <w:i/>
        </w:rPr>
        <w:t>Trans</w:t>
      </w:r>
      <w:r w:rsidRPr="008234DB">
        <w:rPr>
          <w:b/>
        </w:rPr>
        <w:t>-fatty acids</w:t>
      </w:r>
    </w:p>
    <w:p w:rsidR="000B6DF7" w:rsidRPr="008234DB" w:rsidRDefault="000B6DF7" w:rsidP="000B6DF7"/>
    <w:p w:rsidR="000B6DF7" w:rsidRPr="008234DB" w:rsidRDefault="000B6DF7" w:rsidP="000B6DF7">
      <w:r w:rsidRPr="008234DB">
        <w:t>A number of TFA isomers of MUFA</w:t>
      </w:r>
      <w:r w:rsidR="00DE5E95">
        <w:t>s</w:t>
      </w:r>
      <w:r w:rsidRPr="008234DB">
        <w:t xml:space="preserve"> and PUFA</w:t>
      </w:r>
      <w:r w:rsidR="00DE5E95">
        <w:t>s</w:t>
      </w:r>
      <w:r w:rsidRPr="008234DB">
        <w:t xml:space="preserve"> originating from both natural and manufacturing processes can be found in a range of foods. These processes include: </w:t>
      </w:r>
    </w:p>
    <w:p w:rsidR="000B6DF7" w:rsidRPr="008234DB" w:rsidRDefault="000B6DF7" w:rsidP="000B6DF7"/>
    <w:p w:rsidR="000B6DF7" w:rsidRPr="008234DB" w:rsidRDefault="000B6DF7" w:rsidP="00DE5E95">
      <w:pPr>
        <w:widowControl/>
        <w:numPr>
          <w:ilvl w:val="0"/>
          <w:numId w:val="9"/>
        </w:numPr>
        <w:ind w:left="567" w:hanging="567"/>
        <w:contextualSpacing/>
      </w:pPr>
      <w:r w:rsidRPr="008234DB">
        <w:t>Biohydrogenation of MUFA</w:t>
      </w:r>
      <w:r w:rsidR="00DE5E95">
        <w:t>s</w:t>
      </w:r>
      <w:r w:rsidRPr="008234DB">
        <w:t xml:space="preserve"> and PUFA</w:t>
      </w:r>
      <w:r w:rsidR="00DE5E95">
        <w:t>s</w:t>
      </w:r>
      <w:r w:rsidRPr="008234DB">
        <w:t xml:space="preserve"> in the rumen of ruminant animals</w:t>
      </w:r>
      <w:r>
        <w:t>.</w:t>
      </w:r>
    </w:p>
    <w:p w:rsidR="000B6DF7" w:rsidRPr="008234DB" w:rsidRDefault="000B6DF7" w:rsidP="00DE5E95">
      <w:pPr>
        <w:widowControl/>
        <w:numPr>
          <w:ilvl w:val="0"/>
          <w:numId w:val="9"/>
        </w:numPr>
        <w:ind w:left="567" w:hanging="567"/>
        <w:contextualSpacing/>
      </w:pPr>
      <w:r w:rsidRPr="008234DB">
        <w:t>Partial hydrogenation of edible oils containing edible oils cont</w:t>
      </w:r>
      <w:r>
        <w:t>aining unsaturated fatty acids.</w:t>
      </w:r>
    </w:p>
    <w:p w:rsidR="000B6DF7" w:rsidRPr="008234DB" w:rsidRDefault="000B6DF7" w:rsidP="00DE5E95">
      <w:pPr>
        <w:widowControl/>
        <w:numPr>
          <w:ilvl w:val="0"/>
          <w:numId w:val="9"/>
        </w:numPr>
        <w:ind w:left="567" w:hanging="567"/>
        <w:contextualSpacing/>
      </w:pPr>
      <w:r w:rsidRPr="008234DB">
        <w:t xml:space="preserve">Deodorisation of vegetable oils high in </w:t>
      </w:r>
      <w:r w:rsidR="00DE5E95">
        <w:t>PUFAs</w:t>
      </w:r>
      <w:r w:rsidRPr="008234DB">
        <w:t xml:space="preserve"> which removes volatile compounds from fat that contribute to unwanted odours and tastes</w:t>
      </w:r>
      <w:r>
        <w:t>.</w:t>
      </w:r>
      <w:r w:rsidRPr="008234DB">
        <w:t xml:space="preserve"> </w:t>
      </w:r>
    </w:p>
    <w:p w:rsidR="000B6DF7" w:rsidRPr="008234DB" w:rsidRDefault="000B6DF7" w:rsidP="00DE5E95">
      <w:pPr>
        <w:widowControl/>
        <w:numPr>
          <w:ilvl w:val="0"/>
          <w:numId w:val="9"/>
        </w:numPr>
        <w:ind w:left="567" w:hanging="567"/>
        <w:contextualSpacing/>
      </w:pPr>
      <w:r w:rsidRPr="008234DB">
        <w:t>Heating and f</w:t>
      </w:r>
      <w:r w:rsidR="00023BA5">
        <w:t>r</w:t>
      </w:r>
      <w:r w:rsidRPr="008234DB">
        <w:t>ying of oils at excessive temperatures has also been reported to result in t</w:t>
      </w:r>
      <w:r>
        <w:t>ime dependent formation of TFA</w:t>
      </w:r>
      <w:r w:rsidR="00DE5E95">
        <w:t>s</w:t>
      </w:r>
      <w:r>
        <w:t>.</w:t>
      </w:r>
    </w:p>
    <w:p w:rsidR="000B6DF7" w:rsidRPr="008234DB" w:rsidRDefault="000B6DF7" w:rsidP="000B6DF7"/>
    <w:p w:rsidR="000B6DF7" w:rsidRPr="008234DB" w:rsidRDefault="000B6DF7" w:rsidP="000B6DF7">
      <w:r w:rsidRPr="008234DB">
        <w:t>Dairy products and beef fat have been reported to contain approximately 3 to 6% TFA</w:t>
      </w:r>
      <w:r w:rsidR="00DE5E95">
        <w:t>s</w:t>
      </w:r>
      <w:r w:rsidRPr="008234DB">
        <w:t xml:space="preserve">, expressed as a weight percentage of total fatty acids. The main TFA isomers in the fat of dairy and meat products are isomers of the MUFA oleic acid with 11t-18:1 (vaccenic acid) the dominant isomer representing approximately 30-50% of 18:1 </w:t>
      </w:r>
      <w:r w:rsidRPr="00DA53F1">
        <w:rPr>
          <w:i/>
        </w:rPr>
        <w:t>trans</w:t>
      </w:r>
      <w:r w:rsidRPr="008234DB">
        <w:t xml:space="preserve"> isomers in milk fat from cows and goats. TFAs in plants are reportedly relatively rare but have been found in six</w:t>
      </w:r>
      <w:r w:rsidR="00DE5E95">
        <w:t xml:space="preserve"> species of plants, including p</w:t>
      </w:r>
      <w:r w:rsidRPr="008234DB">
        <w:t>omegranates with 70% of their fatty acids being punicic acid (9c, 11t, 13c-18:3).</w:t>
      </w:r>
    </w:p>
    <w:p w:rsidR="000B6DF7" w:rsidRPr="008234DB" w:rsidRDefault="000B6DF7" w:rsidP="000B6DF7"/>
    <w:p w:rsidR="000B6DF7" w:rsidRDefault="00DE5E95" w:rsidP="000B6DF7">
      <w:r>
        <w:t xml:space="preserve">In addition to TFAs </w:t>
      </w:r>
      <w:r w:rsidR="000B6DF7">
        <w:t>of ruminant origin, m</w:t>
      </w:r>
      <w:r w:rsidR="000B6DF7" w:rsidRPr="008234DB">
        <w:t xml:space="preserve">anufactured TFAs were introduced to the diet in the </w:t>
      </w:r>
      <w:r w:rsidR="000B6DF7" w:rsidRPr="008234DB">
        <w:lastRenderedPageBreak/>
        <w:t xml:space="preserve">early 1900’s to produce fat blends for margarine, shortening and deep frying. This process hydrogenates —or saturates—double bonds in vegetable oils. If hydrogenation is complete, the result is a saturated fatty acid. If the oil is partially hydrogenated, the </w:t>
      </w:r>
      <w:r w:rsidR="000B6DF7" w:rsidRPr="008234DB">
        <w:rPr>
          <w:i/>
        </w:rPr>
        <w:t>cis</w:t>
      </w:r>
      <w:r w:rsidR="000B6DF7" w:rsidRPr="008234DB">
        <w:t xml:space="preserve"> double bond of the unsaturated fatty acid in the original oil </w:t>
      </w:r>
      <w:r w:rsidR="000B6DF7">
        <w:t>can migrate</w:t>
      </w:r>
      <w:r w:rsidR="000B6DF7" w:rsidRPr="008234DB">
        <w:t xml:space="preserve"> to a new position in the fatty acid chain (ie positional isomerization) and at the same time, some of the </w:t>
      </w:r>
      <w:r w:rsidR="000B6DF7" w:rsidRPr="008234DB">
        <w:rPr>
          <w:i/>
        </w:rPr>
        <w:t>cis</w:t>
      </w:r>
      <w:r w:rsidR="000B6DF7" w:rsidRPr="008234DB">
        <w:t xml:space="preserve"> double bonds (both old and new double bonds) </w:t>
      </w:r>
      <w:r w:rsidR="000B6DF7">
        <w:t>can be</w:t>
      </w:r>
      <w:r w:rsidR="000B6DF7" w:rsidRPr="008234DB">
        <w:t xml:space="preserve"> converted to the </w:t>
      </w:r>
      <w:r w:rsidR="000B6DF7" w:rsidRPr="00DA53F1">
        <w:rPr>
          <w:i/>
        </w:rPr>
        <w:t>trans</w:t>
      </w:r>
      <w:r w:rsidR="000B6DF7" w:rsidRPr="008234DB">
        <w:t xml:space="preserve"> configuration (geometrical isomerisation). Thus, partial hydrogenation can result in the formation of a complex mixture of new </w:t>
      </w:r>
      <w:r w:rsidR="000B6DF7" w:rsidRPr="008234DB">
        <w:rPr>
          <w:i/>
        </w:rPr>
        <w:t>cis</w:t>
      </w:r>
      <w:r w:rsidR="000B6DF7" w:rsidRPr="008234DB">
        <w:t xml:space="preserve"> and </w:t>
      </w:r>
      <w:r w:rsidR="000B6DF7" w:rsidRPr="00DA53F1">
        <w:rPr>
          <w:i/>
        </w:rPr>
        <w:t>trans</w:t>
      </w:r>
      <w:r w:rsidR="000B6DF7" w:rsidRPr="008234DB">
        <w:t xml:space="preserve"> isomers of MUFA</w:t>
      </w:r>
      <w:r>
        <w:t>s</w:t>
      </w:r>
      <w:r w:rsidR="000B6DF7" w:rsidRPr="008234DB">
        <w:t xml:space="preserve"> and PUFA</w:t>
      </w:r>
      <w:r>
        <w:t>s</w:t>
      </w:r>
      <w:r w:rsidR="000B6DF7" w:rsidRPr="008234DB">
        <w:t xml:space="preserve"> dependent on the nature and amounts of catalyst, the extent of hydrogenation, and other factors.</w:t>
      </w:r>
    </w:p>
    <w:p w:rsidR="000B6DF7" w:rsidRPr="008234DB" w:rsidRDefault="000B6DF7" w:rsidP="000B6DF7"/>
    <w:p w:rsidR="000B6DF7" w:rsidRDefault="000B6DF7" w:rsidP="000B6DF7">
      <w:r w:rsidRPr="008234DB">
        <w:t>While the same isomers occur in industrially produced TFA</w:t>
      </w:r>
      <w:r w:rsidR="00DE5E95">
        <w:t>s</w:t>
      </w:r>
      <w:r w:rsidRPr="008234DB">
        <w:t xml:space="preserve"> and ruminant TFA</w:t>
      </w:r>
      <w:r w:rsidR="00DE5E95">
        <w:t>s</w:t>
      </w:r>
      <w:r>
        <w:t>,</w:t>
      </w:r>
      <w:r w:rsidRPr="008234DB">
        <w:t xml:space="preserve"> the pattern of individual isomers varies widely dependent on the source. </w:t>
      </w:r>
      <w:r>
        <w:t>For instance, w</w:t>
      </w:r>
      <w:r w:rsidRPr="008234DB">
        <w:t>hereas vaccenic acid accounts for 60% of the TFA</w:t>
      </w:r>
      <w:r w:rsidR="00DE5E95">
        <w:t>s</w:t>
      </w:r>
      <w:r w:rsidRPr="008234DB">
        <w:t xml:space="preserve"> in animal fat, it typically represents less than 20% of industrially produced TFA</w:t>
      </w:r>
      <w:r w:rsidR="00DE5E95">
        <w:t>s</w:t>
      </w:r>
      <w:r w:rsidRPr="008234DB">
        <w:t>. During partial hydrogenation of vegetable oils various octadecanoic acid isomers such as elaidic (</w:t>
      </w:r>
      <w:r w:rsidRPr="00DA53F1">
        <w:rPr>
          <w:i/>
        </w:rPr>
        <w:t>trans</w:t>
      </w:r>
      <w:r w:rsidRPr="008234DB">
        <w:t xml:space="preserve">-9 18:1) or </w:t>
      </w:r>
      <w:r w:rsidRPr="00DA53F1">
        <w:rPr>
          <w:i/>
        </w:rPr>
        <w:t>trans</w:t>
      </w:r>
      <w:r w:rsidRPr="008234DB">
        <w:t xml:space="preserve"> 10 18:1 acids are formed, but these isomers are present at much lower concentrations in ruminant fat. </w:t>
      </w:r>
    </w:p>
    <w:p w:rsidR="000B6DF7" w:rsidRPr="008234DB" w:rsidRDefault="000B6DF7" w:rsidP="000B6DF7"/>
    <w:p w:rsidR="000B6DF7" w:rsidRDefault="000B6DF7" w:rsidP="000B6DF7">
      <w:r w:rsidRPr="008234DB">
        <w:t>Conjugated linoleic acids (CLA) consist of a mixture</w:t>
      </w:r>
      <w:r w:rsidR="00907161">
        <w:t xml:space="preserve"> of</w:t>
      </w:r>
      <w:r w:rsidRPr="008234DB">
        <w:t xml:space="preserve"> several positional and geometric isomers whose double bonds can be either </w:t>
      </w:r>
      <w:r w:rsidRPr="00DA53F1">
        <w:rPr>
          <w:i/>
        </w:rPr>
        <w:t>trans</w:t>
      </w:r>
      <w:r w:rsidRPr="008234DB">
        <w:t xml:space="preserve"> or </w:t>
      </w:r>
      <w:r w:rsidRPr="008234DB">
        <w:rPr>
          <w:i/>
        </w:rPr>
        <w:t>cis</w:t>
      </w:r>
      <w:r w:rsidRPr="008234DB">
        <w:t xml:space="preserve"> configuration. The </w:t>
      </w:r>
      <w:r w:rsidRPr="008234DB">
        <w:rPr>
          <w:i/>
        </w:rPr>
        <w:t>cis</w:t>
      </w:r>
      <w:r w:rsidRPr="008234DB">
        <w:t>-9,</w:t>
      </w:r>
      <w:r w:rsidRPr="00DA53F1">
        <w:rPr>
          <w:i/>
        </w:rPr>
        <w:t>trans</w:t>
      </w:r>
      <w:r w:rsidRPr="008234DB">
        <w:t>-11 isomer (sometime</w:t>
      </w:r>
      <w:r w:rsidR="00DE5E95">
        <w:t xml:space="preserve">s referred to as rumenic acid) </w:t>
      </w:r>
      <w:r w:rsidRPr="008234DB">
        <w:t xml:space="preserve">is the most abundant form found in food, the </w:t>
      </w:r>
      <w:r w:rsidRPr="00DA53F1">
        <w:rPr>
          <w:i/>
        </w:rPr>
        <w:t>trans</w:t>
      </w:r>
      <w:r w:rsidRPr="008234DB">
        <w:t>-10,</w:t>
      </w:r>
      <w:r w:rsidRPr="008234DB">
        <w:rPr>
          <w:i/>
        </w:rPr>
        <w:t>cis</w:t>
      </w:r>
      <w:r w:rsidRPr="008234DB">
        <w:t>-12 isomer being the second most abundant form. Dairy products may account for up to about 75% of total food intake of CLA and ruminant meats account for the other 25%.</w:t>
      </w:r>
    </w:p>
    <w:p w:rsidR="000B6DF7" w:rsidRDefault="000B6DF7" w:rsidP="000B6DF7"/>
    <w:p w:rsidR="000B6DF7" w:rsidRDefault="000B6DF7" w:rsidP="000B6DF7"/>
    <w:p w:rsidR="000B6DF7" w:rsidRDefault="000B6DF7" w:rsidP="000B6DF7">
      <w:pPr>
        <w:sectPr w:rsidR="000B6DF7" w:rsidSect="000B6DF7">
          <w:footerReference w:type="default" r:id="rId37"/>
          <w:pgSz w:w="11906" w:h="16838"/>
          <w:pgMar w:top="1418" w:right="1418" w:bottom="1418" w:left="1418" w:header="709" w:footer="709" w:gutter="0"/>
          <w:cols w:space="708"/>
          <w:docGrid w:linePitch="360"/>
        </w:sectPr>
      </w:pPr>
    </w:p>
    <w:p w:rsidR="000B6DF7" w:rsidRDefault="006617A3" w:rsidP="000B6DF7">
      <w:pPr>
        <w:pStyle w:val="Heading1"/>
      </w:pPr>
      <w:bookmarkStart w:id="50" w:name="_Toc387832040"/>
      <w:bookmarkStart w:id="51" w:name="_Toc389652020"/>
      <w:r>
        <w:lastRenderedPageBreak/>
        <w:t xml:space="preserve">Appendix 2 </w:t>
      </w:r>
      <w:r w:rsidR="000B6DF7">
        <w:t>Inter-laboratory results</w:t>
      </w:r>
      <w:bookmarkEnd w:id="50"/>
      <w:bookmarkEnd w:id="51"/>
    </w:p>
    <w:p w:rsidR="00A02D6E" w:rsidRDefault="000B6DF7" w:rsidP="0098571E">
      <w:pPr>
        <w:ind w:left="1560" w:hanging="1560"/>
      </w:pPr>
      <w:r w:rsidRPr="008449DC">
        <w:rPr>
          <w:b/>
        </w:rPr>
        <w:t xml:space="preserve">Table </w:t>
      </w:r>
      <w:r>
        <w:rPr>
          <w:b/>
        </w:rPr>
        <w:t>A2.</w:t>
      </w:r>
      <w:r w:rsidRPr="008449DC">
        <w:rPr>
          <w:b/>
        </w:rPr>
        <w:t>1</w:t>
      </w:r>
      <w:r w:rsidR="00A02D6E">
        <w:rPr>
          <w:b/>
        </w:rPr>
        <w:tab/>
      </w:r>
      <w:r>
        <w:t>Relative percent difference (RPD) values between contracted analytical laboratories</w:t>
      </w:r>
    </w:p>
    <w:p w:rsidR="00864CC0" w:rsidRPr="00A02D6E" w:rsidRDefault="00864CC0" w:rsidP="0098571E">
      <w:pPr>
        <w:ind w:left="1560" w:hanging="1560"/>
        <w:rPr>
          <w:rFonts w:cs="Arial"/>
          <w:sz w:val="18"/>
          <w:szCs w:val="18"/>
        </w:rPr>
      </w:pPr>
    </w:p>
    <w:tbl>
      <w:tblPr>
        <w:tblpPr w:leftFromText="180" w:rightFromText="180" w:vertAnchor="text" w:tblpY="1"/>
        <w:tblOverlap w:val="never"/>
        <w:tblW w:w="12913" w:type="dxa"/>
        <w:tblInd w:w="93" w:type="dxa"/>
        <w:tblLook w:val="04A0" w:firstRow="1" w:lastRow="0" w:firstColumn="1" w:lastColumn="0" w:noHBand="0" w:noVBand="1"/>
      </w:tblPr>
      <w:tblGrid>
        <w:gridCol w:w="2740"/>
        <w:gridCol w:w="1670"/>
        <w:gridCol w:w="2126"/>
        <w:gridCol w:w="2267"/>
        <w:gridCol w:w="2126"/>
        <w:gridCol w:w="1984"/>
      </w:tblGrid>
      <w:tr w:rsidR="000B6DF7" w:rsidRPr="00A02D6E" w:rsidTr="000B6DF7">
        <w:trPr>
          <w:trHeight w:val="268"/>
        </w:trPr>
        <w:tc>
          <w:tcPr>
            <w:tcW w:w="2740" w:type="dxa"/>
            <w:vMerge w:val="restart"/>
            <w:tcBorders>
              <w:top w:val="single" w:sz="4" w:space="0" w:color="FFFFFF"/>
              <w:left w:val="nil"/>
              <w:bottom w:val="nil"/>
              <w:right w:val="single" w:sz="4" w:space="0" w:color="FFFFFF" w:themeColor="background1"/>
            </w:tcBorders>
            <w:shd w:val="clear" w:color="auto" w:fill="000000" w:themeFill="text1"/>
            <w:noWrap/>
            <w:vAlign w:val="center"/>
            <w:hideMark/>
          </w:tcPr>
          <w:p w:rsidR="000B6DF7" w:rsidRPr="00A02D6E" w:rsidRDefault="000B6DF7" w:rsidP="000B6DF7">
            <w:pPr>
              <w:jc w:val="center"/>
              <w:rPr>
                <w:rFonts w:cs="Arial"/>
                <w:b/>
                <w:bCs/>
                <w:color w:val="FFFFFF"/>
                <w:sz w:val="18"/>
                <w:szCs w:val="18"/>
                <w:lang w:eastAsia="en-GB"/>
              </w:rPr>
            </w:pPr>
            <w:r w:rsidRPr="00A02D6E">
              <w:rPr>
                <w:rFonts w:cs="Arial"/>
                <w:b/>
                <w:bCs/>
                <w:color w:val="FFFFFF"/>
                <w:sz w:val="18"/>
                <w:szCs w:val="18"/>
                <w:lang w:eastAsia="en-GB"/>
              </w:rPr>
              <w:t>Food ID</w:t>
            </w:r>
          </w:p>
        </w:tc>
        <w:tc>
          <w:tcPr>
            <w:tcW w:w="1017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bottom"/>
            <w:hideMark/>
          </w:tcPr>
          <w:p w:rsidR="000B6DF7" w:rsidRPr="00A02D6E" w:rsidRDefault="000B6DF7" w:rsidP="000B6DF7">
            <w:pPr>
              <w:jc w:val="center"/>
              <w:rPr>
                <w:rFonts w:cs="Arial"/>
                <w:b/>
                <w:bCs/>
                <w:color w:val="FFFFFF"/>
                <w:sz w:val="18"/>
                <w:szCs w:val="18"/>
                <w:lang w:eastAsia="en-GB"/>
              </w:rPr>
            </w:pPr>
            <w:r w:rsidRPr="00A02D6E">
              <w:rPr>
                <w:rFonts w:cs="Arial"/>
                <w:b/>
                <w:bCs/>
                <w:color w:val="FFFFFF"/>
                <w:sz w:val="18"/>
                <w:szCs w:val="18"/>
                <w:lang w:eastAsia="en-GB"/>
              </w:rPr>
              <w:t>Relative Percent Difference</w:t>
            </w:r>
          </w:p>
        </w:tc>
      </w:tr>
      <w:tr w:rsidR="000B6DF7" w:rsidRPr="00A02D6E" w:rsidTr="000B6DF7">
        <w:trPr>
          <w:trHeight w:val="1089"/>
        </w:trPr>
        <w:tc>
          <w:tcPr>
            <w:tcW w:w="2740" w:type="dxa"/>
            <w:vMerge/>
            <w:tcBorders>
              <w:top w:val="single" w:sz="4" w:space="0" w:color="FFFFFF"/>
              <w:left w:val="nil"/>
              <w:bottom w:val="nil"/>
              <w:right w:val="single" w:sz="4" w:space="0" w:color="FFFFFF"/>
            </w:tcBorders>
            <w:shd w:val="clear" w:color="auto" w:fill="000000" w:themeFill="text1"/>
            <w:vAlign w:val="center"/>
            <w:hideMark/>
          </w:tcPr>
          <w:p w:rsidR="000B6DF7" w:rsidRPr="00A02D6E" w:rsidRDefault="000B6DF7" w:rsidP="000B6DF7">
            <w:pPr>
              <w:rPr>
                <w:rFonts w:cs="Arial"/>
                <w:b/>
                <w:bCs/>
                <w:color w:val="FFFFFF"/>
                <w:sz w:val="18"/>
                <w:szCs w:val="18"/>
                <w:lang w:eastAsia="en-GB"/>
              </w:rPr>
            </w:pPr>
          </w:p>
        </w:tc>
        <w:tc>
          <w:tcPr>
            <w:tcW w:w="1670" w:type="dxa"/>
            <w:tcBorders>
              <w:top w:val="single" w:sz="4" w:space="0" w:color="FFFFFF" w:themeColor="background1"/>
              <w:left w:val="nil"/>
              <w:bottom w:val="single" w:sz="4" w:space="0" w:color="FFFFFF"/>
              <w:right w:val="single" w:sz="4" w:space="0" w:color="FFFFFF"/>
            </w:tcBorders>
            <w:shd w:val="clear" w:color="auto" w:fill="000000" w:themeFill="text1"/>
            <w:vAlign w:val="center"/>
            <w:hideMark/>
          </w:tcPr>
          <w:p w:rsidR="000B6DF7" w:rsidRPr="00A02D6E" w:rsidRDefault="000B6DF7" w:rsidP="000B6DF7">
            <w:pPr>
              <w:rPr>
                <w:rFonts w:cs="Arial"/>
                <w:b/>
                <w:bCs/>
                <w:color w:val="FFFFFF"/>
                <w:sz w:val="18"/>
                <w:szCs w:val="18"/>
                <w:lang w:eastAsia="en-GB"/>
              </w:rPr>
            </w:pPr>
            <w:r w:rsidRPr="00A02D6E">
              <w:rPr>
                <w:rFonts w:cs="Arial"/>
                <w:b/>
                <w:bCs/>
                <w:color w:val="FFFFFF"/>
                <w:sz w:val="18"/>
                <w:szCs w:val="18"/>
                <w:lang w:eastAsia="en-GB"/>
              </w:rPr>
              <w:t>Total Fat</w:t>
            </w:r>
          </w:p>
        </w:tc>
        <w:tc>
          <w:tcPr>
            <w:tcW w:w="2126" w:type="dxa"/>
            <w:tcBorders>
              <w:top w:val="single" w:sz="4" w:space="0" w:color="FFFFFF" w:themeColor="background1"/>
              <w:left w:val="nil"/>
              <w:bottom w:val="single" w:sz="4" w:space="0" w:color="FFFFFF"/>
              <w:right w:val="single" w:sz="4" w:space="0" w:color="FFFFFF"/>
            </w:tcBorders>
            <w:shd w:val="clear" w:color="auto" w:fill="000000" w:themeFill="text1"/>
            <w:vAlign w:val="center"/>
            <w:hideMark/>
          </w:tcPr>
          <w:p w:rsidR="000B6DF7" w:rsidRPr="00A02D6E" w:rsidRDefault="000B6DF7" w:rsidP="000B6DF7">
            <w:pPr>
              <w:rPr>
                <w:rFonts w:cs="Arial"/>
                <w:b/>
                <w:bCs/>
                <w:color w:val="FFFFFF"/>
                <w:sz w:val="18"/>
                <w:szCs w:val="18"/>
                <w:lang w:eastAsia="en-GB"/>
              </w:rPr>
            </w:pPr>
            <w:r w:rsidRPr="00A02D6E">
              <w:rPr>
                <w:rFonts w:cs="Arial"/>
                <w:b/>
                <w:bCs/>
                <w:color w:val="FFFFFF"/>
                <w:sz w:val="18"/>
                <w:szCs w:val="18"/>
                <w:lang w:eastAsia="en-GB"/>
              </w:rPr>
              <w:t>Total Saturated Fatty Acids</w:t>
            </w:r>
          </w:p>
        </w:tc>
        <w:tc>
          <w:tcPr>
            <w:tcW w:w="2267" w:type="dxa"/>
            <w:tcBorders>
              <w:top w:val="single" w:sz="4" w:space="0" w:color="FFFFFF" w:themeColor="background1"/>
              <w:left w:val="nil"/>
              <w:bottom w:val="single" w:sz="4" w:space="0" w:color="FFFFFF"/>
              <w:right w:val="single" w:sz="4" w:space="0" w:color="FFFFFF"/>
            </w:tcBorders>
            <w:shd w:val="clear" w:color="auto" w:fill="000000" w:themeFill="text1"/>
            <w:vAlign w:val="center"/>
            <w:hideMark/>
          </w:tcPr>
          <w:p w:rsidR="000B6DF7" w:rsidRPr="00A02D6E" w:rsidRDefault="000B6DF7" w:rsidP="000B6DF7">
            <w:pPr>
              <w:rPr>
                <w:rFonts w:cs="Arial"/>
                <w:b/>
                <w:bCs/>
                <w:color w:val="FFFFFF"/>
                <w:sz w:val="18"/>
                <w:szCs w:val="18"/>
                <w:lang w:eastAsia="en-GB"/>
              </w:rPr>
            </w:pPr>
            <w:r w:rsidRPr="00A02D6E">
              <w:rPr>
                <w:rFonts w:cs="Arial"/>
                <w:b/>
                <w:bCs/>
                <w:color w:val="FFFFFF"/>
                <w:sz w:val="18"/>
                <w:szCs w:val="18"/>
                <w:lang w:eastAsia="en-GB"/>
              </w:rPr>
              <w:t>Total Monounsaturated Fatty Acids</w:t>
            </w:r>
          </w:p>
        </w:tc>
        <w:tc>
          <w:tcPr>
            <w:tcW w:w="2126" w:type="dxa"/>
            <w:tcBorders>
              <w:top w:val="single" w:sz="4" w:space="0" w:color="FFFFFF" w:themeColor="background1"/>
              <w:left w:val="nil"/>
              <w:bottom w:val="single" w:sz="4" w:space="0" w:color="FFFFFF"/>
              <w:right w:val="single" w:sz="4" w:space="0" w:color="FFFFFF"/>
            </w:tcBorders>
            <w:shd w:val="clear" w:color="auto" w:fill="000000" w:themeFill="text1"/>
            <w:vAlign w:val="center"/>
            <w:hideMark/>
          </w:tcPr>
          <w:p w:rsidR="000B6DF7" w:rsidRPr="00A02D6E" w:rsidRDefault="000B6DF7" w:rsidP="000B6DF7">
            <w:pPr>
              <w:rPr>
                <w:rFonts w:cs="Arial"/>
                <w:b/>
                <w:bCs/>
                <w:color w:val="FFFFFF"/>
                <w:sz w:val="18"/>
                <w:szCs w:val="18"/>
                <w:lang w:eastAsia="en-GB"/>
              </w:rPr>
            </w:pPr>
            <w:r w:rsidRPr="00A02D6E">
              <w:rPr>
                <w:rFonts w:cs="Arial"/>
                <w:b/>
                <w:bCs/>
                <w:color w:val="FFFFFF"/>
                <w:sz w:val="18"/>
                <w:szCs w:val="18"/>
                <w:lang w:eastAsia="en-GB"/>
              </w:rPr>
              <w:t>Total Polyunsaturated Fatty Acids</w:t>
            </w:r>
          </w:p>
        </w:tc>
        <w:tc>
          <w:tcPr>
            <w:tcW w:w="1984" w:type="dxa"/>
            <w:tcBorders>
              <w:top w:val="single" w:sz="4" w:space="0" w:color="FFFFFF" w:themeColor="background1"/>
              <w:left w:val="nil"/>
              <w:bottom w:val="single" w:sz="4" w:space="0" w:color="FFFFFF"/>
              <w:right w:val="single" w:sz="4" w:space="0" w:color="FFFFFF"/>
            </w:tcBorders>
            <w:shd w:val="clear" w:color="auto" w:fill="000000" w:themeFill="text1"/>
            <w:vAlign w:val="center"/>
            <w:hideMark/>
          </w:tcPr>
          <w:p w:rsidR="000B6DF7" w:rsidRPr="00A02D6E" w:rsidRDefault="000B6DF7" w:rsidP="000B6DF7">
            <w:pPr>
              <w:rPr>
                <w:rFonts w:cs="Arial"/>
                <w:b/>
                <w:bCs/>
                <w:color w:val="FFFFFF"/>
                <w:sz w:val="18"/>
                <w:szCs w:val="18"/>
                <w:lang w:eastAsia="en-GB"/>
              </w:rPr>
            </w:pPr>
            <w:r w:rsidRPr="00A02D6E">
              <w:rPr>
                <w:rFonts w:cs="Arial"/>
                <w:b/>
                <w:bCs/>
                <w:color w:val="FFFFFF"/>
                <w:sz w:val="18"/>
                <w:szCs w:val="18"/>
                <w:lang w:eastAsia="en-GB"/>
              </w:rPr>
              <w:t>Total Trans Fatty Acids</w:t>
            </w:r>
          </w:p>
        </w:tc>
      </w:tr>
      <w:tr w:rsidR="000B6DF7" w:rsidRPr="00A02D6E" w:rsidTr="000B6DF7">
        <w:trPr>
          <w:trHeight w:val="300"/>
        </w:trPr>
        <w:tc>
          <w:tcPr>
            <w:tcW w:w="2740" w:type="dxa"/>
            <w:vMerge/>
            <w:tcBorders>
              <w:top w:val="single" w:sz="4" w:space="0" w:color="FFFFFF"/>
              <w:left w:val="nil"/>
              <w:bottom w:val="single" w:sz="4" w:space="0" w:color="FFFFFF" w:themeColor="background1"/>
              <w:right w:val="single" w:sz="4" w:space="0" w:color="FFFFFF"/>
            </w:tcBorders>
            <w:shd w:val="clear" w:color="auto" w:fill="000000" w:themeFill="text1"/>
            <w:vAlign w:val="center"/>
            <w:hideMark/>
          </w:tcPr>
          <w:p w:rsidR="000B6DF7" w:rsidRPr="00A02D6E" w:rsidRDefault="000B6DF7" w:rsidP="000B6DF7">
            <w:pPr>
              <w:rPr>
                <w:rFonts w:cs="Arial"/>
                <w:b/>
                <w:bCs/>
                <w:color w:val="FFFFFF"/>
                <w:sz w:val="18"/>
                <w:szCs w:val="18"/>
                <w:lang w:eastAsia="en-GB"/>
              </w:rPr>
            </w:pPr>
          </w:p>
        </w:tc>
        <w:tc>
          <w:tcPr>
            <w:tcW w:w="1670" w:type="dxa"/>
            <w:tcBorders>
              <w:top w:val="nil"/>
              <w:left w:val="nil"/>
              <w:bottom w:val="single" w:sz="4" w:space="0" w:color="FFFFFF" w:themeColor="background1"/>
              <w:right w:val="single" w:sz="4" w:space="0" w:color="FFFFFF"/>
            </w:tcBorders>
            <w:shd w:val="clear" w:color="auto" w:fill="000000" w:themeFill="text1"/>
            <w:vAlign w:val="center"/>
            <w:hideMark/>
          </w:tcPr>
          <w:p w:rsidR="000B6DF7" w:rsidRPr="00A02D6E" w:rsidRDefault="000B6DF7" w:rsidP="000B6DF7">
            <w:pPr>
              <w:jc w:val="center"/>
              <w:rPr>
                <w:rFonts w:cs="Arial"/>
                <w:b/>
                <w:bCs/>
                <w:color w:val="FFFFFF"/>
                <w:sz w:val="18"/>
                <w:szCs w:val="18"/>
                <w:lang w:eastAsia="en-GB"/>
              </w:rPr>
            </w:pPr>
            <w:r w:rsidRPr="00A02D6E">
              <w:rPr>
                <w:rFonts w:cs="Arial"/>
                <w:b/>
                <w:bCs/>
                <w:color w:val="FFFFFF"/>
                <w:sz w:val="18"/>
                <w:szCs w:val="18"/>
                <w:lang w:eastAsia="en-GB"/>
              </w:rPr>
              <w:t>(%)</w:t>
            </w:r>
          </w:p>
        </w:tc>
        <w:tc>
          <w:tcPr>
            <w:tcW w:w="2126" w:type="dxa"/>
            <w:tcBorders>
              <w:top w:val="nil"/>
              <w:left w:val="nil"/>
              <w:bottom w:val="single" w:sz="4" w:space="0" w:color="FFFFFF" w:themeColor="background1"/>
              <w:right w:val="single" w:sz="4" w:space="0" w:color="FFFFFF"/>
            </w:tcBorders>
            <w:shd w:val="clear" w:color="auto" w:fill="000000" w:themeFill="text1"/>
            <w:vAlign w:val="center"/>
            <w:hideMark/>
          </w:tcPr>
          <w:p w:rsidR="000B6DF7" w:rsidRPr="00A02D6E" w:rsidRDefault="000B6DF7" w:rsidP="000B6DF7">
            <w:pPr>
              <w:jc w:val="center"/>
              <w:rPr>
                <w:rFonts w:cs="Arial"/>
                <w:b/>
                <w:bCs/>
                <w:color w:val="FFFFFF"/>
                <w:sz w:val="18"/>
                <w:szCs w:val="18"/>
                <w:lang w:eastAsia="en-GB"/>
              </w:rPr>
            </w:pPr>
            <w:r w:rsidRPr="00A02D6E">
              <w:rPr>
                <w:rFonts w:cs="Arial"/>
                <w:b/>
                <w:bCs/>
                <w:color w:val="FFFFFF"/>
                <w:sz w:val="18"/>
                <w:szCs w:val="18"/>
                <w:lang w:eastAsia="en-GB"/>
              </w:rPr>
              <w:t>(%)</w:t>
            </w:r>
          </w:p>
        </w:tc>
        <w:tc>
          <w:tcPr>
            <w:tcW w:w="2267" w:type="dxa"/>
            <w:tcBorders>
              <w:top w:val="nil"/>
              <w:left w:val="nil"/>
              <w:bottom w:val="single" w:sz="4" w:space="0" w:color="FFFFFF" w:themeColor="background1"/>
              <w:right w:val="single" w:sz="4" w:space="0" w:color="FFFFFF"/>
            </w:tcBorders>
            <w:shd w:val="clear" w:color="auto" w:fill="000000" w:themeFill="text1"/>
            <w:vAlign w:val="center"/>
            <w:hideMark/>
          </w:tcPr>
          <w:p w:rsidR="000B6DF7" w:rsidRPr="00A02D6E" w:rsidRDefault="000B6DF7" w:rsidP="000B6DF7">
            <w:pPr>
              <w:jc w:val="center"/>
              <w:rPr>
                <w:rFonts w:cs="Arial"/>
                <w:b/>
                <w:bCs/>
                <w:color w:val="FFFFFF"/>
                <w:sz w:val="18"/>
                <w:szCs w:val="18"/>
                <w:lang w:eastAsia="en-GB"/>
              </w:rPr>
            </w:pPr>
            <w:r w:rsidRPr="00A02D6E">
              <w:rPr>
                <w:rFonts w:cs="Arial"/>
                <w:b/>
                <w:bCs/>
                <w:color w:val="FFFFFF"/>
                <w:sz w:val="18"/>
                <w:szCs w:val="18"/>
                <w:lang w:eastAsia="en-GB"/>
              </w:rPr>
              <w:t>(%)</w:t>
            </w:r>
          </w:p>
        </w:tc>
        <w:tc>
          <w:tcPr>
            <w:tcW w:w="2126" w:type="dxa"/>
            <w:tcBorders>
              <w:top w:val="nil"/>
              <w:left w:val="nil"/>
              <w:bottom w:val="single" w:sz="4" w:space="0" w:color="FFFFFF" w:themeColor="background1"/>
              <w:right w:val="single" w:sz="4" w:space="0" w:color="FFFFFF"/>
            </w:tcBorders>
            <w:shd w:val="clear" w:color="auto" w:fill="000000" w:themeFill="text1"/>
            <w:vAlign w:val="center"/>
            <w:hideMark/>
          </w:tcPr>
          <w:p w:rsidR="000B6DF7" w:rsidRPr="00A02D6E" w:rsidRDefault="000B6DF7" w:rsidP="000B6DF7">
            <w:pPr>
              <w:jc w:val="center"/>
              <w:rPr>
                <w:rFonts w:cs="Arial"/>
                <w:b/>
                <w:bCs/>
                <w:color w:val="FFFFFF"/>
                <w:sz w:val="18"/>
                <w:szCs w:val="18"/>
                <w:lang w:eastAsia="en-GB"/>
              </w:rPr>
            </w:pPr>
            <w:r w:rsidRPr="00A02D6E">
              <w:rPr>
                <w:rFonts w:cs="Arial"/>
                <w:b/>
                <w:bCs/>
                <w:color w:val="FFFFFF"/>
                <w:sz w:val="18"/>
                <w:szCs w:val="18"/>
                <w:lang w:eastAsia="en-GB"/>
              </w:rPr>
              <w:t>(%)</w:t>
            </w:r>
          </w:p>
        </w:tc>
        <w:tc>
          <w:tcPr>
            <w:tcW w:w="1984" w:type="dxa"/>
            <w:tcBorders>
              <w:top w:val="nil"/>
              <w:left w:val="nil"/>
              <w:bottom w:val="single" w:sz="4" w:space="0" w:color="FFFFFF" w:themeColor="background1"/>
              <w:right w:val="single" w:sz="4" w:space="0" w:color="FFFFFF"/>
            </w:tcBorders>
            <w:shd w:val="clear" w:color="auto" w:fill="000000" w:themeFill="text1"/>
            <w:vAlign w:val="center"/>
            <w:hideMark/>
          </w:tcPr>
          <w:p w:rsidR="000B6DF7" w:rsidRPr="00A02D6E" w:rsidRDefault="000B6DF7" w:rsidP="000B6DF7">
            <w:pPr>
              <w:jc w:val="center"/>
              <w:rPr>
                <w:rFonts w:cs="Arial"/>
                <w:b/>
                <w:bCs/>
                <w:color w:val="FFFFFF"/>
                <w:sz w:val="18"/>
                <w:szCs w:val="18"/>
                <w:lang w:eastAsia="en-GB"/>
              </w:rPr>
            </w:pPr>
            <w:r w:rsidRPr="00A02D6E">
              <w:rPr>
                <w:rFonts w:cs="Arial"/>
                <w:b/>
                <w:bCs/>
                <w:color w:val="FFFFFF"/>
                <w:sz w:val="18"/>
                <w:szCs w:val="18"/>
                <w:lang w:eastAsia="en-GB"/>
              </w:rPr>
              <w:t>(%)</w:t>
            </w:r>
          </w:p>
        </w:tc>
      </w:tr>
      <w:tr w:rsidR="000B6DF7" w:rsidRPr="00A02D6E" w:rsidTr="000B6DF7">
        <w:trPr>
          <w:trHeight w:val="300"/>
        </w:trPr>
        <w:tc>
          <w:tcPr>
            <w:tcW w:w="274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noWrap/>
            <w:vAlign w:val="bottom"/>
          </w:tcPr>
          <w:p w:rsidR="000B6DF7" w:rsidRPr="00A02D6E" w:rsidRDefault="000B6DF7" w:rsidP="000B6DF7">
            <w:pPr>
              <w:rPr>
                <w:rFonts w:cs="Arial"/>
                <w:color w:val="000000"/>
                <w:sz w:val="18"/>
                <w:szCs w:val="18"/>
                <w:lang w:eastAsia="en-GB"/>
              </w:rPr>
            </w:pPr>
          </w:p>
        </w:tc>
        <w:tc>
          <w:tcPr>
            <w:tcW w:w="10173" w:type="dxa"/>
            <w:gridSpan w:val="5"/>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noWrap/>
            <w:vAlign w:val="bottom"/>
          </w:tcPr>
          <w:p w:rsidR="000B6DF7" w:rsidRPr="00A02D6E" w:rsidRDefault="000B6DF7" w:rsidP="000B6DF7">
            <w:pPr>
              <w:jc w:val="center"/>
              <w:rPr>
                <w:rFonts w:cs="Arial"/>
                <w:color w:val="000000"/>
                <w:sz w:val="18"/>
                <w:szCs w:val="18"/>
                <w:lang w:eastAsia="en-GB"/>
              </w:rPr>
            </w:pPr>
            <w:r w:rsidRPr="00A02D6E">
              <w:rPr>
                <w:rFonts w:cs="Arial"/>
                <w:b/>
                <w:bCs/>
                <w:color w:val="FFFFFF"/>
                <w:sz w:val="18"/>
                <w:szCs w:val="18"/>
                <w:lang w:eastAsia="en-GB"/>
              </w:rPr>
              <w:t>Laboratory A &amp; B</w:t>
            </w:r>
          </w:p>
        </w:tc>
      </w:tr>
      <w:tr w:rsidR="000B6DF7" w:rsidRPr="00A02D6E" w:rsidTr="000B6DF7">
        <w:trPr>
          <w:trHeight w:val="300"/>
        </w:trPr>
        <w:tc>
          <w:tcPr>
            <w:tcW w:w="2740" w:type="dxa"/>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Sweet Biscuits</w:t>
            </w:r>
          </w:p>
        </w:tc>
        <w:tc>
          <w:tcPr>
            <w:tcW w:w="1670"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w:t>
            </w:r>
          </w:p>
        </w:tc>
        <w:tc>
          <w:tcPr>
            <w:tcW w:w="2126"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0</w:t>
            </w:r>
          </w:p>
        </w:tc>
        <w:tc>
          <w:tcPr>
            <w:tcW w:w="2267"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6</w:t>
            </w:r>
          </w:p>
        </w:tc>
        <w:tc>
          <w:tcPr>
            <w:tcW w:w="2126"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15</w:t>
            </w:r>
          </w:p>
        </w:tc>
        <w:tc>
          <w:tcPr>
            <w:tcW w:w="1984"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16</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Donut</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25</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40</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A10C20" w:rsidP="000B6DF7">
            <w:pPr>
              <w:rPr>
                <w:rFonts w:cs="Arial"/>
                <w:color w:val="000000"/>
                <w:sz w:val="18"/>
                <w:szCs w:val="18"/>
                <w:lang w:eastAsia="en-GB"/>
              </w:rPr>
            </w:pPr>
            <w:r>
              <w:rPr>
                <w:rFonts w:cs="Arial"/>
                <w:color w:val="000000"/>
                <w:sz w:val="18"/>
                <w:szCs w:val="18"/>
                <w:lang w:eastAsia="en-GB"/>
              </w:rPr>
              <w:t>Confectionery</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4</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5</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0</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8</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Sausage Rolls</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10</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60</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Chicken Products</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5</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11</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39</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Hot Chips/Potato Products</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0</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50</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Vegetable Oil</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0</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7</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4</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24</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Nut Based Spreads</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4</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5</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0</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124</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Potato Crisps &amp; Corn Chips</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10</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18</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NA</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Pizza</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5</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5</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15</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22</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000000" w:themeFill="text1"/>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 </w:t>
            </w:r>
          </w:p>
        </w:tc>
        <w:tc>
          <w:tcPr>
            <w:tcW w:w="10173" w:type="dxa"/>
            <w:gridSpan w:val="5"/>
            <w:tcBorders>
              <w:top w:val="single" w:sz="4" w:space="0" w:color="auto"/>
              <w:left w:val="nil"/>
              <w:bottom w:val="single" w:sz="4" w:space="0" w:color="auto"/>
              <w:right w:val="single" w:sz="4" w:space="0" w:color="000000"/>
            </w:tcBorders>
            <w:shd w:val="clear" w:color="auto" w:fill="000000" w:themeFill="text1"/>
            <w:noWrap/>
            <w:vAlign w:val="center"/>
            <w:hideMark/>
          </w:tcPr>
          <w:p w:rsidR="000B6DF7" w:rsidRPr="00A02D6E" w:rsidRDefault="000B6DF7" w:rsidP="000B6DF7">
            <w:pPr>
              <w:jc w:val="center"/>
              <w:rPr>
                <w:rFonts w:cs="Arial"/>
                <w:b/>
                <w:bCs/>
                <w:color w:val="FFFFFF"/>
                <w:sz w:val="18"/>
                <w:szCs w:val="18"/>
              </w:rPr>
            </w:pPr>
            <w:r w:rsidRPr="00A02D6E">
              <w:rPr>
                <w:rFonts w:cs="Arial"/>
                <w:b/>
                <w:bCs/>
                <w:color w:val="FFFFFF"/>
                <w:sz w:val="18"/>
                <w:szCs w:val="18"/>
              </w:rPr>
              <w:t>Laboratory A &amp; C</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Sweet Biscuits</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15</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14</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23</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21</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22</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Donut</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15</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7</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19</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25</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33</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A10C20" w:rsidP="000B6DF7">
            <w:pPr>
              <w:rPr>
                <w:rFonts w:cs="Arial"/>
                <w:color w:val="000000"/>
                <w:sz w:val="18"/>
                <w:szCs w:val="18"/>
                <w:lang w:eastAsia="en-GB"/>
              </w:rPr>
            </w:pPr>
            <w:r>
              <w:rPr>
                <w:rFonts w:cs="Arial"/>
                <w:color w:val="000000"/>
                <w:sz w:val="18"/>
                <w:szCs w:val="18"/>
                <w:lang w:eastAsia="en-GB"/>
              </w:rPr>
              <w:t>Confectionery</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14</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14</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25</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33</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156</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Sausage Rolls</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10</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7</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21</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11</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20</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Chicken Products</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12</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17</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14</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15</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62</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Hot Chips/Potato Products</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20</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38</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21</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21</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120</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Vegetable Oil</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0</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7</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5</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95</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lastRenderedPageBreak/>
              <w:t>Nut Based Spreads</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12</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24</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15</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13</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NA</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Potato Crisps &amp; Corn Chips</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25</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33</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29</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35</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NA</w:t>
            </w:r>
          </w:p>
        </w:tc>
      </w:tr>
      <w:tr w:rsidR="000B6DF7" w:rsidRPr="00A02D6E" w:rsidTr="000B6D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B6DF7" w:rsidRPr="00A02D6E" w:rsidRDefault="000B6DF7" w:rsidP="000B6DF7">
            <w:pPr>
              <w:rPr>
                <w:rFonts w:cs="Arial"/>
                <w:color w:val="000000"/>
                <w:sz w:val="18"/>
                <w:szCs w:val="18"/>
                <w:lang w:eastAsia="en-GB"/>
              </w:rPr>
            </w:pPr>
            <w:r w:rsidRPr="00A02D6E">
              <w:rPr>
                <w:rFonts w:cs="Arial"/>
                <w:color w:val="000000"/>
                <w:sz w:val="18"/>
                <w:szCs w:val="18"/>
                <w:lang w:eastAsia="en-GB"/>
              </w:rPr>
              <w:t>Pizza</w:t>
            </w:r>
          </w:p>
        </w:tc>
        <w:tc>
          <w:tcPr>
            <w:tcW w:w="1670"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24</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25</w:t>
            </w:r>
          </w:p>
        </w:tc>
        <w:tc>
          <w:tcPr>
            <w:tcW w:w="2267"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24</w:t>
            </w:r>
          </w:p>
        </w:tc>
        <w:tc>
          <w:tcPr>
            <w:tcW w:w="2126"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0B6DF7" w:rsidRPr="00A02D6E" w:rsidRDefault="000B6DF7" w:rsidP="000B6DF7">
            <w:pPr>
              <w:jc w:val="center"/>
              <w:rPr>
                <w:rFonts w:cs="Arial"/>
                <w:color w:val="000000"/>
                <w:sz w:val="18"/>
                <w:szCs w:val="18"/>
              </w:rPr>
            </w:pPr>
            <w:r w:rsidRPr="00A02D6E">
              <w:rPr>
                <w:rFonts w:cs="Arial"/>
                <w:color w:val="000000"/>
                <w:sz w:val="18"/>
                <w:szCs w:val="18"/>
              </w:rPr>
              <w:t>11</w:t>
            </w:r>
          </w:p>
        </w:tc>
      </w:tr>
    </w:tbl>
    <w:p w:rsidR="000B6DF7" w:rsidRDefault="000B6DF7" w:rsidP="000B6DF7"/>
    <w:p w:rsidR="000B6DF7" w:rsidRDefault="000B6DF7" w:rsidP="000B6DF7">
      <w:pPr>
        <w:rPr>
          <w:sz w:val="20"/>
          <w:szCs w:val="20"/>
        </w:rPr>
      </w:pPr>
    </w:p>
    <w:p w:rsidR="000B6DF7" w:rsidRDefault="000B6DF7" w:rsidP="000B6DF7">
      <w:pPr>
        <w:rPr>
          <w:sz w:val="20"/>
          <w:szCs w:val="20"/>
        </w:rPr>
      </w:pPr>
    </w:p>
    <w:p w:rsidR="00A02D6E" w:rsidRDefault="00A02D6E" w:rsidP="000B6DF7">
      <w:pPr>
        <w:rPr>
          <w:sz w:val="20"/>
          <w:szCs w:val="20"/>
        </w:rPr>
      </w:pPr>
    </w:p>
    <w:p w:rsidR="000B6DF7" w:rsidRPr="00A02D6E" w:rsidRDefault="000B6DF7" w:rsidP="000B6DF7">
      <w:pPr>
        <w:rPr>
          <w:sz w:val="20"/>
          <w:szCs w:val="20"/>
        </w:rPr>
      </w:pPr>
      <w:r w:rsidRPr="00A02D6E">
        <w:rPr>
          <w:sz w:val="20"/>
          <w:szCs w:val="20"/>
        </w:rPr>
        <w:t xml:space="preserve">A = NMI; B=NSW Forensic Analytical and Science Services, C=Chem Centre. </w:t>
      </w:r>
    </w:p>
    <w:p w:rsidR="000B6DF7" w:rsidRPr="00A02D6E" w:rsidRDefault="000B6DF7" w:rsidP="000B6DF7">
      <w:pPr>
        <w:rPr>
          <w:sz w:val="20"/>
          <w:szCs w:val="20"/>
        </w:rPr>
      </w:pPr>
      <w:r w:rsidRPr="00A02D6E">
        <w:rPr>
          <w:sz w:val="20"/>
          <w:szCs w:val="20"/>
        </w:rPr>
        <w:t>NA = not applicable. One value was below the LOR.</w:t>
      </w:r>
    </w:p>
    <w:p w:rsidR="000B6DF7" w:rsidRPr="00A02D6E" w:rsidRDefault="000B6DF7" w:rsidP="000B6DF7">
      <w:pPr>
        <w:rPr>
          <w:sz w:val="20"/>
          <w:szCs w:val="20"/>
        </w:rPr>
      </w:pPr>
      <w:r w:rsidRPr="00A02D6E">
        <w:rPr>
          <w:sz w:val="20"/>
          <w:szCs w:val="20"/>
        </w:rPr>
        <w:t>Relat</w:t>
      </w:r>
      <w:r w:rsidR="00FF3FBE">
        <w:rPr>
          <w:sz w:val="20"/>
          <w:szCs w:val="20"/>
        </w:rPr>
        <w:t>ive percent difference = (</w:t>
      </w:r>
      <w:r w:rsidR="00FF3FBE">
        <w:rPr>
          <w:rFonts w:cs="Arial"/>
          <w:sz w:val="20"/>
          <w:szCs w:val="20"/>
        </w:rPr>
        <w:t>|</w:t>
      </w:r>
      <w:r w:rsidR="00FF3FBE">
        <w:rPr>
          <w:sz w:val="20"/>
          <w:szCs w:val="20"/>
        </w:rPr>
        <w:t>[A] - [B]</w:t>
      </w:r>
      <w:r w:rsidR="00FF3FBE">
        <w:rPr>
          <w:rFonts w:cs="Arial"/>
          <w:sz w:val="20"/>
          <w:szCs w:val="20"/>
        </w:rPr>
        <w:t>|</w:t>
      </w:r>
      <w:r w:rsidRPr="00A02D6E">
        <w:rPr>
          <w:sz w:val="20"/>
          <w:szCs w:val="20"/>
        </w:rPr>
        <w:t xml:space="preserve"> / ([A] + [B]) / 2) x 100 where A = concentration in the first sample, B = concentration in the second sample.</w:t>
      </w:r>
    </w:p>
    <w:p w:rsidR="000B6DF7" w:rsidRDefault="000B6DF7" w:rsidP="000B6DF7">
      <w:pPr>
        <w:rPr>
          <w:sz w:val="20"/>
          <w:szCs w:val="20"/>
        </w:rPr>
      </w:pPr>
    </w:p>
    <w:p w:rsidR="000B6DF7" w:rsidRPr="00B2626A" w:rsidRDefault="000B6DF7" w:rsidP="000B6DF7">
      <w:pPr>
        <w:rPr>
          <w:sz w:val="20"/>
          <w:szCs w:val="20"/>
        </w:rPr>
        <w:sectPr w:rsidR="000B6DF7" w:rsidRPr="00B2626A" w:rsidSect="000B6DF7">
          <w:footerReference w:type="default" r:id="rId38"/>
          <w:pgSz w:w="16838" w:h="11906" w:orient="landscape"/>
          <w:pgMar w:top="1418" w:right="1418" w:bottom="1418" w:left="1418" w:header="709" w:footer="709" w:gutter="0"/>
          <w:cols w:space="708"/>
          <w:docGrid w:linePitch="360"/>
        </w:sectPr>
      </w:pPr>
    </w:p>
    <w:p w:rsidR="000B6DF7" w:rsidRDefault="000B6DF7" w:rsidP="000B6DF7">
      <w:pPr>
        <w:rPr>
          <w:sz w:val="20"/>
          <w:szCs w:val="20"/>
        </w:rPr>
      </w:pPr>
    </w:p>
    <w:p w:rsidR="000B6DF7" w:rsidRDefault="000B6DF7" w:rsidP="000B6DF7">
      <w:pPr>
        <w:rPr>
          <w:sz w:val="20"/>
          <w:szCs w:val="20"/>
        </w:rPr>
      </w:pPr>
      <w:r>
        <w:rPr>
          <w:noProof/>
          <w:lang w:val="en-NZ" w:eastAsia="en-NZ" w:bidi="ar-SA"/>
        </w:rPr>
        <w:drawing>
          <wp:inline distT="0" distB="0" distL="0" distR="0" wp14:anchorId="4CCD74DD" wp14:editId="01092019">
            <wp:extent cx="8486775" cy="298132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B6DF7" w:rsidRDefault="000B6DF7" w:rsidP="000B6DF7">
      <w:pPr>
        <w:rPr>
          <w:sz w:val="20"/>
          <w:szCs w:val="20"/>
        </w:rPr>
      </w:pPr>
    </w:p>
    <w:p w:rsidR="00347827" w:rsidRPr="0040759B" w:rsidRDefault="00347827" w:rsidP="00347827">
      <w:pPr>
        <w:rPr>
          <w:b/>
        </w:rPr>
      </w:pPr>
      <w:r w:rsidRPr="0040759B">
        <w:rPr>
          <w:b/>
        </w:rPr>
        <w:t>Figure</w:t>
      </w:r>
      <w:r>
        <w:rPr>
          <w:b/>
        </w:rPr>
        <w:t xml:space="preserve"> A2.1</w:t>
      </w:r>
      <w:r w:rsidRPr="00A02D6E">
        <w:tab/>
        <w:t>Inter- la</w:t>
      </w:r>
      <w:r w:rsidR="00763B60">
        <w:t>boratory results for TFA in g/</w:t>
      </w:r>
      <w:r w:rsidRPr="00A02D6E">
        <w:t>100 g food</w:t>
      </w:r>
    </w:p>
    <w:p w:rsidR="00347827" w:rsidRDefault="00347827" w:rsidP="000B6DF7">
      <w:pPr>
        <w:rPr>
          <w:sz w:val="20"/>
          <w:szCs w:val="20"/>
        </w:rPr>
      </w:pPr>
    </w:p>
    <w:p w:rsidR="000B6DF7" w:rsidRDefault="000B6DF7" w:rsidP="000B6DF7">
      <w:pPr>
        <w:rPr>
          <w:sz w:val="20"/>
          <w:szCs w:val="20"/>
        </w:rPr>
      </w:pPr>
      <w:r>
        <w:rPr>
          <w:sz w:val="20"/>
          <w:szCs w:val="20"/>
        </w:rPr>
        <w:t xml:space="preserve">A = NMI; B=NSW </w:t>
      </w:r>
      <w:r w:rsidRPr="008234DB">
        <w:t>Forensic Analytical and Science Services</w:t>
      </w:r>
      <w:r>
        <w:rPr>
          <w:sz w:val="20"/>
          <w:szCs w:val="20"/>
        </w:rPr>
        <w:t>, C=Chem Centre.</w:t>
      </w:r>
    </w:p>
    <w:p w:rsidR="000B6DF7" w:rsidRDefault="000B6DF7" w:rsidP="000B6DF7">
      <w:pPr>
        <w:rPr>
          <w:sz w:val="20"/>
          <w:szCs w:val="20"/>
        </w:rPr>
      </w:pPr>
    </w:p>
    <w:p w:rsidR="000B6DF7" w:rsidRDefault="000B6DF7" w:rsidP="000B6DF7">
      <w:pPr>
        <w:pStyle w:val="Heading1"/>
        <w:ind w:left="0" w:firstLine="0"/>
        <w:sectPr w:rsidR="000B6DF7" w:rsidSect="000B6DF7">
          <w:headerReference w:type="default" r:id="rId40"/>
          <w:footerReference w:type="default" r:id="rId41"/>
          <w:pgSz w:w="16838" w:h="11906" w:orient="landscape"/>
          <w:pgMar w:top="1440" w:right="1440" w:bottom="1440" w:left="1440" w:header="709" w:footer="709" w:gutter="0"/>
          <w:cols w:space="708"/>
          <w:docGrid w:linePitch="360"/>
        </w:sectPr>
      </w:pPr>
    </w:p>
    <w:p w:rsidR="000B6DF7" w:rsidRPr="00CD2540" w:rsidRDefault="006617A3" w:rsidP="000B6DF7">
      <w:pPr>
        <w:pStyle w:val="Heading1"/>
        <w:ind w:left="0" w:firstLine="0"/>
        <w:rPr>
          <w:sz w:val="20"/>
          <w:szCs w:val="20"/>
        </w:rPr>
      </w:pPr>
      <w:bookmarkStart w:id="52" w:name="_Toc387832041"/>
      <w:bookmarkStart w:id="53" w:name="_Toc389652021"/>
      <w:r>
        <w:lastRenderedPageBreak/>
        <w:t xml:space="preserve">Appendix 3 </w:t>
      </w:r>
      <w:r w:rsidR="000B6DF7">
        <w:t>Individual analytical results</w:t>
      </w:r>
      <w:bookmarkEnd w:id="52"/>
      <w:bookmarkEnd w:id="53"/>
    </w:p>
    <w:p w:rsidR="000B6DF7" w:rsidRDefault="000B6DF7" w:rsidP="00A02D6E">
      <w:pPr>
        <w:ind w:left="1418" w:hanging="1418"/>
      </w:pPr>
      <w:r w:rsidRPr="00853C72">
        <w:rPr>
          <w:b/>
        </w:rPr>
        <w:t xml:space="preserve">Table </w:t>
      </w:r>
      <w:r>
        <w:rPr>
          <w:b/>
        </w:rPr>
        <w:t>A3.</w:t>
      </w:r>
      <w:r w:rsidRPr="00853C72">
        <w:rPr>
          <w:b/>
        </w:rPr>
        <w:t>1</w:t>
      </w:r>
      <w:r w:rsidR="00A02D6E">
        <w:rPr>
          <w:b/>
        </w:rPr>
        <w:tab/>
      </w:r>
      <w:r w:rsidRPr="00853C72">
        <w:t xml:space="preserve">Individual results for total fat, SFA, MUFA, PUFA and total TFA expressed </w:t>
      </w:r>
      <w:r w:rsidR="00A02D6E">
        <w:t>in g/</w:t>
      </w:r>
      <w:r w:rsidRPr="00853C72">
        <w:t>100 g food</w:t>
      </w:r>
    </w:p>
    <w:p w:rsidR="000B6DF7" w:rsidRPr="00853C72" w:rsidRDefault="000B6DF7" w:rsidP="000B6DF7"/>
    <w:tbl>
      <w:tblPr>
        <w:tblW w:w="10953" w:type="dxa"/>
        <w:tblInd w:w="-743" w:type="dxa"/>
        <w:tblLook w:val="04A0" w:firstRow="1" w:lastRow="0" w:firstColumn="1" w:lastColumn="0" w:noHBand="0" w:noVBand="1"/>
      </w:tblPr>
      <w:tblGrid>
        <w:gridCol w:w="3134"/>
        <w:gridCol w:w="1276"/>
        <w:gridCol w:w="1275"/>
        <w:gridCol w:w="1335"/>
        <w:gridCol w:w="1335"/>
        <w:gridCol w:w="1299"/>
        <w:gridCol w:w="1299"/>
      </w:tblGrid>
      <w:tr w:rsidR="009C088B" w:rsidRPr="00642779" w:rsidTr="009C088B">
        <w:trPr>
          <w:trHeight w:val="300"/>
          <w:tblHeader/>
        </w:trPr>
        <w:tc>
          <w:tcPr>
            <w:tcW w:w="3134" w:type="dxa"/>
            <w:vMerge w:val="restart"/>
            <w:tcBorders>
              <w:top w:val="single" w:sz="4" w:space="0" w:color="auto"/>
              <w:left w:val="single" w:sz="4" w:space="0" w:color="auto"/>
              <w:bottom w:val="single" w:sz="4" w:space="0" w:color="auto"/>
              <w:right w:val="single" w:sz="4" w:space="0" w:color="FFFFFF" w:themeColor="background1"/>
            </w:tcBorders>
            <w:shd w:val="clear" w:color="auto" w:fill="000000" w:themeFill="text1"/>
            <w:noWrap/>
            <w:vAlign w:val="center"/>
          </w:tcPr>
          <w:p w:rsidR="009C088B" w:rsidRPr="00DB0E40" w:rsidRDefault="009C088B" w:rsidP="000B6DF7">
            <w:pPr>
              <w:rPr>
                <w:rFonts w:cs="Arial"/>
                <w:b/>
                <w:sz w:val="18"/>
                <w:szCs w:val="18"/>
                <w:lang w:eastAsia="en-GB"/>
              </w:rPr>
            </w:pPr>
            <w:r w:rsidRPr="00DB0E40">
              <w:rPr>
                <w:rFonts w:cs="Arial"/>
                <w:b/>
                <w:sz w:val="18"/>
                <w:szCs w:val="18"/>
                <w:lang w:eastAsia="en-GB"/>
              </w:rPr>
              <w:t>Food ID</w:t>
            </w:r>
          </w:p>
        </w:tc>
        <w:tc>
          <w:tcPr>
            <w:tcW w:w="65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C088B" w:rsidRPr="009C088B" w:rsidRDefault="009C088B" w:rsidP="000B6DF7">
            <w:pPr>
              <w:jc w:val="center"/>
              <w:rPr>
                <w:rFonts w:cs="Arial"/>
                <w:b/>
                <w:bCs/>
                <w:sz w:val="18"/>
                <w:szCs w:val="18"/>
              </w:rPr>
            </w:pPr>
            <w:r w:rsidRPr="009C088B">
              <w:rPr>
                <w:rFonts w:cs="Arial"/>
                <w:b/>
                <w:bCs/>
                <w:sz w:val="18"/>
                <w:szCs w:val="18"/>
              </w:rPr>
              <w:t>(g/100 g food)</w:t>
            </w:r>
          </w:p>
        </w:tc>
        <w:tc>
          <w:tcPr>
            <w:tcW w:w="129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rsidR="009C088B" w:rsidRPr="009C088B" w:rsidRDefault="009C088B" w:rsidP="009C088B">
            <w:pPr>
              <w:jc w:val="center"/>
              <w:rPr>
                <w:rFonts w:cs="Arial"/>
                <w:b/>
                <w:bCs/>
                <w:sz w:val="18"/>
                <w:szCs w:val="18"/>
              </w:rPr>
            </w:pPr>
            <w:r w:rsidRPr="009C088B">
              <w:rPr>
                <w:rFonts w:cs="Arial"/>
                <w:b/>
                <w:bCs/>
                <w:sz w:val="18"/>
                <w:szCs w:val="18"/>
              </w:rPr>
              <w:t>Total TFA (g/100g of fat)</w:t>
            </w:r>
          </w:p>
        </w:tc>
      </w:tr>
      <w:tr w:rsidR="009C088B" w:rsidRPr="00642779" w:rsidTr="009C088B">
        <w:trPr>
          <w:trHeight w:val="300"/>
          <w:tblHeader/>
        </w:trPr>
        <w:tc>
          <w:tcPr>
            <w:tcW w:w="3134" w:type="dxa"/>
            <w:vMerge/>
            <w:tcBorders>
              <w:top w:val="single" w:sz="4" w:space="0" w:color="auto"/>
              <w:left w:val="single" w:sz="4" w:space="0" w:color="auto"/>
              <w:bottom w:val="single" w:sz="4" w:space="0" w:color="auto"/>
              <w:right w:val="single" w:sz="4" w:space="0" w:color="FFFFFF" w:themeColor="background1"/>
            </w:tcBorders>
            <w:shd w:val="clear" w:color="auto" w:fill="000000" w:themeFill="text1"/>
            <w:noWrap/>
          </w:tcPr>
          <w:p w:rsidR="009C088B" w:rsidRPr="00B75E6C" w:rsidRDefault="009C088B" w:rsidP="000B6DF7">
            <w:pPr>
              <w:rPr>
                <w:rFonts w:cs="Arial"/>
                <w:color w:val="FFFFFF" w:themeColor="background1"/>
                <w:sz w:val="18"/>
                <w:szCs w:val="18"/>
                <w:lang w:eastAsia="en-GB"/>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C088B" w:rsidRPr="00B75E6C" w:rsidRDefault="009C088B" w:rsidP="000B6DF7">
            <w:pPr>
              <w:jc w:val="center"/>
              <w:rPr>
                <w:rFonts w:cs="Arial"/>
                <w:b/>
                <w:bCs/>
                <w:color w:val="FFFFFF" w:themeColor="background1"/>
                <w:sz w:val="18"/>
                <w:szCs w:val="18"/>
              </w:rPr>
            </w:pPr>
            <w:r w:rsidRPr="00B75E6C">
              <w:rPr>
                <w:rFonts w:cs="Arial"/>
                <w:b/>
                <w:bCs/>
                <w:color w:val="FFFFFF" w:themeColor="background1"/>
                <w:sz w:val="18"/>
                <w:szCs w:val="18"/>
              </w:rPr>
              <w:t>Total fat</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C088B" w:rsidRPr="00B75E6C" w:rsidRDefault="009C088B" w:rsidP="000B6DF7">
            <w:pPr>
              <w:jc w:val="center"/>
              <w:rPr>
                <w:rFonts w:cs="Arial"/>
                <w:b/>
                <w:bCs/>
                <w:color w:val="FFFFFF" w:themeColor="background1"/>
                <w:sz w:val="18"/>
                <w:szCs w:val="18"/>
              </w:rPr>
            </w:pPr>
            <w:r w:rsidRPr="00B75E6C">
              <w:rPr>
                <w:rFonts w:cs="Arial"/>
                <w:b/>
                <w:bCs/>
                <w:color w:val="FFFFFF" w:themeColor="background1"/>
                <w:sz w:val="18"/>
                <w:szCs w:val="18"/>
              </w:rPr>
              <w:t>Total saturated fatty acids</w:t>
            </w:r>
          </w:p>
        </w:tc>
        <w:tc>
          <w:tcPr>
            <w:tcW w:w="133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rsidR="009C088B" w:rsidRPr="00B75E6C" w:rsidRDefault="009C088B" w:rsidP="000B6DF7">
            <w:pPr>
              <w:jc w:val="center"/>
              <w:rPr>
                <w:rFonts w:cs="Arial"/>
                <w:b/>
                <w:bCs/>
                <w:color w:val="FFFFFF" w:themeColor="background1"/>
                <w:sz w:val="18"/>
                <w:szCs w:val="18"/>
              </w:rPr>
            </w:pPr>
            <w:r w:rsidRPr="00B75E6C">
              <w:rPr>
                <w:rFonts w:cs="Arial"/>
                <w:b/>
                <w:bCs/>
                <w:color w:val="FFFFFF" w:themeColor="background1"/>
                <w:sz w:val="18"/>
                <w:szCs w:val="18"/>
              </w:rPr>
              <w:t>Total mono-unsaturated fatty acids</w:t>
            </w:r>
          </w:p>
        </w:tc>
        <w:tc>
          <w:tcPr>
            <w:tcW w:w="1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C088B" w:rsidRPr="00B75E6C" w:rsidRDefault="009C088B" w:rsidP="000B6DF7">
            <w:pPr>
              <w:jc w:val="center"/>
              <w:rPr>
                <w:rFonts w:cs="Arial"/>
                <w:b/>
                <w:bCs/>
                <w:color w:val="FFFFFF" w:themeColor="background1"/>
                <w:sz w:val="18"/>
                <w:szCs w:val="18"/>
              </w:rPr>
            </w:pPr>
            <w:r w:rsidRPr="00B75E6C">
              <w:rPr>
                <w:rFonts w:cs="Arial"/>
                <w:b/>
                <w:bCs/>
                <w:color w:val="FFFFFF" w:themeColor="background1"/>
                <w:sz w:val="18"/>
                <w:szCs w:val="18"/>
              </w:rPr>
              <w:t>Total poly-unsaturated fatty acids</w:t>
            </w:r>
          </w:p>
        </w:tc>
        <w:tc>
          <w:tcPr>
            <w:tcW w:w="12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C088B" w:rsidRPr="00B75E6C" w:rsidRDefault="009C088B" w:rsidP="000B6DF7">
            <w:pPr>
              <w:jc w:val="center"/>
              <w:rPr>
                <w:rFonts w:cs="Arial"/>
                <w:b/>
                <w:bCs/>
                <w:color w:val="FFFFFF" w:themeColor="background1"/>
                <w:sz w:val="18"/>
                <w:szCs w:val="18"/>
              </w:rPr>
            </w:pPr>
            <w:r w:rsidRPr="00B75E6C">
              <w:rPr>
                <w:rFonts w:cs="Arial"/>
                <w:b/>
                <w:bCs/>
                <w:color w:val="FFFFFF" w:themeColor="background1"/>
                <w:sz w:val="18"/>
                <w:szCs w:val="18"/>
              </w:rPr>
              <w:t>Total Trans Fatty Acids</w:t>
            </w:r>
          </w:p>
        </w:tc>
        <w:tc>
          <w:tcPr>
            <w:tcW w:w="1299"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C088B" w:rsidRPr="009C088B" w:rsidRDefault="009C088B" w:rsidP="009C088B">
            <w:pPr>
              <w:jc w:val="center"/>
              <w:rPr>
                <w:rFonts w:cs="Arial"/>
                <w:b/>
                <w:bCs/>
                <w:color w:val="FFFFFF" w:themeColor="background1"/>
                <w:sz w:val="18"/>
                <w:szCs w:val="18"/>
              </w:rPr>
            </w:pP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r w:rsidR="0028119C">
              <w:rPr>
                <w:rFonts w:cs="Arial"/>
                <w:color w:val="000000"/>
                <w:sz w:val="18"/>
                <w:szCs w:val="18"/>
                <w:lang w:eastAsia="en-GB"/>
              </w:rPr>
              <w:t>*</w:t>
            </w:r>
          </w:p>
        </w:tc>
        <w:tc>
          <w:tcPr>
            <w:tcW w:w="1276" w:type="dxa"/>
            <w:tcBorders>
              <w:top w:val="single" w:sz="4" w:space="0" w:color="FFFFFF" w:themeColor="background1"/>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Chicken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r w:rsidR="00FE65D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r w:rsidR="00FE65D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1.06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r w:rsidR="00FE65D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r w:rsidR="00FE65D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r w:rsidR="00FE65D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r w:rsidR="00FE65D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0.94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0.82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 Chip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Chocolate Coated and Chocolate Filled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A10C20" w:rsidP="000B6DF7">
            <w:pPr>
              <w:rPr>
                <w:rFonts w:cs="Arial"/>
                <w:color w:val="000000"/>
                <w:sz w:val="18"/>
                <w:szCs w:val="18"/>
                <w:lang w:eastAsia="en-GB"/>
              </w:rPr>
            </w:pPr>
            <w:r>
              <w:rPr>
                <w:rFonts w:cs="Arial"/>
                <w:color w:val="000000"/>
                <w:sz w:val="18"/>
                <w:szCs w:val="18"/>
                <w:lang w:eastAsia="en-GB"/>
              </w:rPr>
              <w:t>Confectionery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r w:rsidR="00FE65D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0.99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1.70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6.4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Cream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Cream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Croissant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1.47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6.0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Croissant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1.63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6.7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Croissant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1.26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6.2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Croissant</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1.39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Croissant</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Croissant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0.96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Croissant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Croissant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0.96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Croissant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0.97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Croissant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1.07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Crumbed/Battered Fish Fillets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Custard Baked Goods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Custard Baked Goods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Custard Baked Goods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Custard Baked Goods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Custard Baked Goods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7.3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Custard Baked Goods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Custard Baked Goods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Custard Baked Goods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0.88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Custard Baked Goods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7.4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Custard Baked Goods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6.4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Desserts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0.81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0.91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Donut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Dry Mix Pasta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Dry Mix Pasta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Dry Mix Pasta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Dry Mix Pasta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Dry Mix Pasta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Dry Mix Pasta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Dry Mix Pasta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Dry Mix Pasta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80.2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1.81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1.88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65.1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0.85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66.4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0.80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66.3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0.80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2.00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0.80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69.5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51.0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Edible Oil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Extruded Snacks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Falafel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Falafel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Falafel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Falafel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Falafel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Falafel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Falafel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Falafel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Falafel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Fried Noodle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Fried Noodle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Fried Noodle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Fried Noodle Dishes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Fried Noodle Dishes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Fried Noodle Dishes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Fried Noodle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Fried Noodle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Fried Noodle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Hot Chips/Potato Products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Meat Pies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0.96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8.1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Meat Pies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Meat Pies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6.8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Meat Pies</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Meat Pies</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Meat Pies</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Meat Pies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Meat Pies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Meat Pies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Meat Pies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Meat Pies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Meat Pies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54.3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52.4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Nut Based Spreads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Oil Based Dressings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Oil Based Dressings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79.8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Oil Based Dressings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Oil Based Dressings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0.95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Oil Based Dressings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Oil Based Dressings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Oil Based Dressings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Oil Based Dressings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Pikelets/Pancakes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Pikelets/Pancakes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Pikelets/Pancakes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Pikelets/Pancakes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Pikelets/Pancakes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Pikelets/Pancakes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Pikelets/Pancakes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Pikelets/Pancakes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Pizza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Popcorn</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Popcorn</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Popcorn</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Popcorn</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2.50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Popcorn</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Popcorn</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2.90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Popcorn</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Popcorn</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4.83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18.1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Popcorn</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Popcorn</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Popcorn</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Potato crisps &amp; Corn Chips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1.32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0.84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1.53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r w:rsidR="0028119C">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1.02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0.96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1.07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1.16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1.48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6.6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Prepared Pastry</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r w:rsidR="004736B4">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Restaurant style takeaway dishes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Sauces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Sauces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Sauces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Sauces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Sauces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Sauces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Sauces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Sauces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1.32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9.4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1.29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0.83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6.1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Sausage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6.3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 Rice Crackers and Crispbreads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 Rice Crackers and Crispbreads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 Rice Crackers and Crispbreads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 Rice Crackers and Crispbreads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 Rice Crackers and Crispbreads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 Rice Crackers and Crispbreads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 Rice Crackers and Crispbreads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 Rice Crackers and Crispbreads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 Rice Crackers and Crispbreads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 Rice Crackers and Crispbreads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r w:rsidR="000B65F2">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r w:rsidR="000B65F2">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24.3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0.75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Savoury Biscuits- Standard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Savoury Biscuits- Standard</w:t>
            </w:r>
            <w:r w:rsidR="000B65F2">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Scones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Scones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Scones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Scones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Scones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Scones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Scones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Scones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5.9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Cream Filled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Cream Filled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Cream Filled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Cream Filled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0.36</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Cream Filled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Cream Filled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Cream Filled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Cream Filled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0.82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Shelf Stable Cakes - No Cream</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Snack Bars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Snack Bars</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35.2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Spring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0.07</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Spring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Spring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Spring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Spring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3.3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Spring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Spring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Spring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1.1</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Spring Rolls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0.04</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r w:rsidR="00FE65D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r w:rsidR="00FE65D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2.0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Biscuits</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r w:rsidR="00277D43">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20.1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22.4</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0.9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1.09</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4.9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0.11</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0.10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0.20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Sweet Muffins &amp; Banana Bread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18.6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Toasted Style Muesli Cereal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16.3</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Toasted Style Muesli Cereal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0.2</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Toasted Style Muesli Cereal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0.3</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Toasted Style Muesli Cereal</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12.6</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lastRenderedPageBreak/>
              <w:t>Toasted Style Muesli Cereal</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5.0</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Toasted Style Muesli Cereal</w:t>
            </w:r>
            <w:r w:rsidR="00E04CF1">
              <w:rPr>
                <w:rFonts w:cs="Arial"/>
                <w:color w:val="000000"/>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Toasted Style Muesli Cereal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15.2</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Toasted Style Muesli Cereal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15.7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Toasted Style Muesli Cereal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16.7</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Toasted Style Muesli Cereal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21.5</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11.7</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Toasted Style Muesli Cereal</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14.1</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8E314D" w:rsidP="000B6DF7">
            <w:pPr>
              <w:rPr>
                <w:rFonts w:cs="Arial"/>
                <w:color w:val="000000"/>
                <w:sz w:val="18"/>
                <w:szCs w:val="18"/>
                <w:lang w:eastAsia="en-GB"/>
              </w:rPr>
            </w:pPr>
            <w:r>
              <w:rPr>
                <w:rFonts w:cs="Arial"/>
                <w:color w:val="000000"/>
                <w:sz w:val="18"/>
                <w:szCs w:val="18"/>
                <w:lang w:eastAsia="en-GB"/>
              </w:rPr>
              <w:t>Vegetable o</w:t>
            </w:r>
            <w:r w:rsidR="00224058" w:rsidRPr="00B75E6C">
              <w:rPr>
                <w:rFonts w:cs="Arial"/>
                <w:color w:val="000000"/>
                <w:sz w:val="18"/>
                <w:szCs w:val="18"/>
                <w:lang w:eastAsia="en-GB"/>
              </w:rPr>
              <w:t>il</w:t>
            </w:r>
            <w:r w:rsidR="008F1B5B">
              <w:rPr>
                <w:rFonts w:cs="Arial"/>
                <w:color w:val="000000"/>
                <w:sz w:val="18"/>
                <w:szCs w:val="18"/>
                <w:lang w:eastAsia="en-GB"/>
              </w:rPr>
              <w:t xml:space="preserve"> (olive)</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16.1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75.0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8.9</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0.00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0.0</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8E314D" w:rsidP="000B6DF7">
            <w:pPr>
              <w:rPr>
                <w:rFonts w:cs="Arial"/>
                <w:color w:val="000000"/>
                <w:sz w:val="18"/>
                <w:szCs w:val="18"/>
                <w:lang w:eastAsia="en-GB"/>
              </w:rPr>
            </w:pPr>
            <w:r>
              <w:rPr>
                <w:rFonts w:cs="Arial"/>
                <w:color w:val="000000"/>
                <w:sz w:val="18"/>
                <w:szCs w:val="18"/>
                <w:lang w:eastAsia="en-GB"/>
              </w:rPr>
              <w:t>Vegetable o</w:t>
            </w:r>
            <w:r w:rsidR="00224058" w:rsidRPr="00B75E6C">
              <w:rPr>
                <w:rFonts w:cs="Arial"/>
                <w:color w:val="000000"/>
                <w:sz w:val="18"/>
                <w:szCs w:val="18"/>
                <w:lang w:eastAsia="en-GB"/>
              </w:rPr>
              <w:t>il</w:t>
            </w:r>
            <w:r w:rsidR="008F1B5B">
              <w:rPr>
                <w:rFonts w:cs="Arial"/>
                <w:color w:val="000000"/>
                <w:sz w:val="18"/>
                <w:szCs w:val="18"/>
                <w:lang w:eastAsia="en-GB"/>
              </w:rPr>
              <w:t xml:space="preserve"> (sunflower)</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29.9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0.35</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8E314D" w:rsidP="000B6DF7">
            <w:pPr>
              <w:rPr>
                <w:rFonts w:cs="Arial"/>
                <w:color w:val="000000"/>
                <w:sz w:val="18"/>
                <w:szCs w:val="18"/>
                <w:lang w:eastAsia="en-GB"/>
              </w:rPr>
            </w:pPr>
            <w:r>
              <w:rPr>
                <w:rFonts w:cs="Arial"/>
                <w:color w:val="000000"/>
                <w:sz w:val="18"/>
                <w:szCs w:val="18"/>
                <w:lang w:eastAsia="en-GB"/>
              </w:rPr>
              <w:t>Vegetable o</w:t>
            </w:r>
            <w:r w:rsidR="00224058" w:rsidRPr="00B75E6C">
              <w:rPr>
                <w:rFonts w:cs="Arial"/>
                <w:color w:val="000000"/>
                <w:sz w:val="18"/>
                <w:szCs w:val="18"/>
                <w:lang w:eastAsia="en-GB"/>
              </w:rPr>
              <w:t>il</w:t>
            </w:r>
            <w:r w:rsidR="008F1B5B">
              <w:rPr>
                <w:rFonts w:cs="Arial"/>
                <w:color w:val="000000"/>
                <w:sz w:val="18"/>
                <w:szCs w:val="18"/>
                <w:lang w:eastAsia="en-GB"/>
              </w:rPr>
              <w:t xml:space="preserve"> (peanut)</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0.53</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8E314D" w:rsidP="000B6DF7">
            <w:pPr>
              <w:rPr>
                <w:rFonts w:cs="Arial"/>
                <w:color w:val="000000"/>
                <w:sz w:val="18"/>
                <w:szCs w:val="18"/>
                <w:lang w:eastAsia="en-GB"/>
              </w:rPr>
            </w:pPr>
            <w:r>
              <w:rPr>
                <w:rFonts w:cs="Arial"/>
                <w:color w:val="000000"/>
                <w:sz w:val="18"/>
                <w:szCs w:val="18"/>
                <w:lang w:eastAsia="en-GB"/>
              </w:rPr>
              <w:t>Vegetable o</w:t>
            </w:r>
            <w:r w:rsidR="00224058" w:rsidRPr="00B75E6C">
              <w:rPr>
                <w:rFonts w:cs="Arial"/>
                <w:color w:val="000000"/>
                <w:sz w:val="18"/>
                <w:szCs w:val="18"/>
                <w:lang w:eastAsia="en-GB"/>
              </w:rPr>
              <w:t>il</w:t>
            </w:r>
            <w:r w:rsidR="008F1B5B">
              <w:rPr>
                <w:rFonts w:cs="Arial"/>
                <w:color w:val="000000"/>
                <w:sz w:val="18"/>
                <w:szCs w:val="18"/>
                <w:lang w:eastAsia="en-GB"/>
              </w:rPr>
              <w:t xml:space="preserve"> (canola)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7.6</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64.1</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0.62</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8E314D" w:rsidP="000B6DF7">
            <w:pPr>
              <w:rPr>
                <w:rFonts w:cs="Arial"/>
                <w:color w:val="000000"/>
                <w:sz w:val="18"/>
                <w:szCs w:val="18"/>
                <w:lang w:eastAsia="en-GB"/>
              </w:rPr>
            </w:pPr>
            <w:r>
              <w:rPr>
                <w:rFonts w:cs="Arial"/>
                <w:color w:val="000000"/>
                <w:sz w:val="18"/>
                <w:szCs w:val="18"/>
                <w:lang w:eastAsia="en-GB"/>
              </w:rPr>
              <w:t>Vegetable o</w:t>
            </w:r>
            <w:r w:rsidR="00224058" w:rsidRPr="00B75E6C">
              <w:rPr>
                <w:rFonts w:cs="Arial"/>
                <w:color w:val="000000"/>
                <w:sz w:val="18"/>
                <w:szCs w:val="18"/>
                <w:lang w:eastAsia="en-GB"/>
              </w:rPr>
              <w:t>il</w:t>
            </w:r>
            <w:r w:rsidR="008F1B5B">
              <w:rPr>
                <w:rFonts w:cs="Arial"/>
                <w:color w:val="000000"/>
                <w:sz w:val="18"/>
                <w:szCs w:val="18"/>
                <w:lang w:eastAsia="en-GB"/>
              </w:rPr>
              <w:t xml:space="preserve"> (rice)</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23.3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41.9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34.3</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0.48</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Vegetable oil</w:t>
            </w:r>
            <w:r w:rsidR="008F1B5B">
              <w:rPr>
                <w:rFonts w:cs="Arial"/>
                <w:color w:val="000000"/>
                <w:sz w:val="18"/>
                <w:szCs w:val="18"/>
                <w:lang w:eastAsia="en-GB"/>
              </w:rPr>
              <w:t xml:space="preserve"> (canola)*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59.5</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27.2</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1.50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1.5</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Vegetable oil</w:t>
            </w:r>
            <w:r w:rsidR="008F1B5B">
              <w:rPr>
                <w:rFonts w:cs="Arial"/>
                <w:color w:val="000000"/>
                <w:sz w:val="18"/>
                <w:szCs w:val="18"/>
                <w:lang w:eastAsia="en-GB"/>
              </w:rPr>
              <w:t xml:space="preserve"> (soya bean)*</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26.0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54.1</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1.60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1.6</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Vegetable oil</w:t>
            </w:r>
            <w:r w:rsidR="008F1B5B">
              <w:rPr>
                <w:rFonts w:cs="Arial"/>
                <w:color w:val="000000"/>
                <w:sz w:val="18"/>
                <w:szCs w:val="18"/>
                <w:lang w:eastAsia="en-GB"/>
              </w:rPr>
              <w:t xml:space="preserve"> (rice bran)</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22.3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39.9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32.4</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0.90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0.9</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Vegetable oil</w:t>
            </w:r>
            <w:r w:rsidR="008F1B5B">
              <w:rPr>
                <w:rFonts w:cs="Arial"/>
                <w:color w:val="000000"/>
                <w:sz w:val="18"/>
                <w:szCs w:val="18"/>
                <w:lang w:eastAsia="en-GB"/>
              </w:rPr>
              <w:t xml:space="preserve"> (blended)</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13.2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33.4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47.7</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1.40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1.4</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Vegetable oil</w:t>
            </w:r>
            <w:r w:rsidR="008F1B5B">
              <w:rPr>
                <w:rFonts w:cs="Arial"/>
                <w:color w:val="000000"/>
                <w:sz w:val="18"/>
                <w:szCs w:val="18"/>
                <w:lang w:eastAsia="en-GB"/>
              </w:rPr>
              <w:t xml:space="preserve"> (canola)</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99.9</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7.2</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59.0</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27.6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1.70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1.7</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Vegetable oil</w:t>
            </w:r>
            <w:r w:rsidR="008F1B5B">
              <w:rPr>
                <w:rFonts w:cs="Arial"/>
                <w:color w:val="000000"/>
                <w:sz w:val="18"/>
                <w:szCs w:val="18"/>
                <w:lang w:eastAsia="en-GB"/>
              </w:rPr>
              <w:t xml:space="preserve"> (olive)</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14.9</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71.3</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8.6</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0.80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0.8</w:t>
            </w:r>
          </w:p>
        </w:tc>
      </w:tr>
      <w:tr w:rsidR="00224058" w:rsidRPr="00642779" w:rsidTr="00224058">
        <w:trPr>
          <w:trHeight w:val="300"/>
        </w:trPr>
        <w:tc>
          <w:tcPr>
            <w:tcW w:w="3134" w:type="dxa"/>
            <w:tcBorders>
              <w:top w:val="single" w:sz="4" w:space="0" w:color="auto"/>
              <w:left w:val="single" w:sz="4" w:space="0" w:color="auto"/>
              <w:bottom w:val="single" w:sz="4" w:space="0" w:color="auto"/>
              <w:right w:val="single" w:sz="4" w:space="0" w:color="auto"/>
            </w:tcBorders>
            <w:noWrap/>
            <w:hideMark/>
          </w:tcPr>
          <w:p w:rsidR="00224058" w:rsidRPr="00B75E6C" w:rsidRDefault="00224058" w:rsidP="000B6DF7">
            <w:pPr>
              <w:rPr>
                <w:rFonts w:cs="Arial"/>
                <w:color w:val="000000"/>
                <w:sz w:val="18"/>
                <w:szCs w:val="18"/>
                <w:lang w:eastAsia="en-GB"/>
              </w:rPr>
            </w:pPr>
            <w:r w:rsidRPr="00B75E6C">
              <w:rPr>
                <w:rFonts w:cs="Arial"/>
                <w:color w:val="000000"/>
                <w:sz w:val="18"/>
                <w:szCs w:val="18"/>
                <w:lang w:eastAsia="en-GB"/>
              </w:rPr>
              <w:t>Vegetable oil</w:t>
            </w:r>
            <w:r w:rsidR="008F1B5B">
              <w:rPr>
                <w:rFonts w:cs="Arial"/>
                <w:color w:val="000000"/>
                <w:sz w:val="18"/>
                <w:szCs w:val="18"/>
                <w:lang w:eastAsia="en-GB"/>
              </w:rPr>
              <w:t xml:space="preserve"> (olive)</w:t>
            </w:r>
          </w:p>
        </w:tc>
        <w:tc>
          <w:tcPr>
            <w:tcW w:w="1276"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99.8</w:t>
            </w:r>
          </w:p>
        </w:tc>
        <w:tc>
          <w:tcPr>
            <w:tcW w:w="127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17.8</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64.4</w:t>
            </w:r>
          </w:p>
        </w:tc>
        <w:tc>
          <w:tcPr>
            <w:tcW w:w="1335" w:type="dxa"/>
            <w:tcBorders>
              <w:top w:val="single" w:sz="4" w:space="0" w:color="auto"/>
              <w:left w:val="single" w:sz="4" w:space="0" w:color="auto"/>
              <w:bottom w:val="single" w:sz="4" w:space="0" w:color="auto"/>
              <w:right w:val="single" w:sz="4" w:space="0" w:color="auto"/>
            </w:tcBorders>
            <w:vAlign w:val="bottom"/>
          </w:tcPr>
          <w:p w:rsidR="00224058" w:rsidRPr="00B75E6C" w:rsidRDefault="00224058" w:rsidP="000B6DF7">
            <w:pPr>
              <w:jc w:val="center"/>
              <w:rPr>
                <w:rFonts w:cs="Arial"/>
                <w:color w:val="000000"/>
                <w:sz w:val="18"/>
                <w:szCs w:val="18"/>
              </w:rPr>
            </w:pPr>
            <w:r w:rsidRPr="00B75E6C">
              <w:rPr>
                <w:rFonts w:cs="Arial"/>
                <w:color w:val="000000"/>
                <w:sz w:val="18"/>
                <w:szCs w:val="18"/>
              </w:rPr>
              <w:t>12.8</w:t>
            </w:r>
          </w:p>
        </w:tc>
        <w:tc>
          <w:tcPr>
            <w:tcW w:w="1299" w:type="dxa"/>
            <w:tcBorders>
              <w:top w:val="single" w:sz="4" w:space="0" w:color="auto"/>
              <w:left w:val="single" w:sz="4" w:space="0" w:color="auto"/>
              <w:bottom w:val="single" w:sz="4" w:space="0" w:color="auto"/>
              <w:right w:val="single" w:sz="4" w:space="0" w:color="auto"/>
            </w:tcBorders>
            <w:vAlign w:val="center"/>
          </w:tcPr>
          <w:p w:rsidR="00224058" w:rsidRPr="00B75E6C" w:rsidRDefault="00224058" w:rsidP="000B6DF7">
            <w:pPr>
              <w:jc w:val="center"/>
              <w:rPr>
                <w:rFonts w:cs="Arial"/>
                <w:color w:val="000000"/>
                <w:sz w:val="18"/>
                <w:szCs w:val="18"/>
              </w:rPr>
            </w:pPr>
            <w:r w:rsidRPr="00B75E6C">
              <w:rPr>
                <w:rFonts w:cs="Arial"/>
                <w:color w:val="000000"/>
                <w:sz w:val="18"/>
                <w:szCs w:val="18"/>
              </w:rPr>
              <w:t>0.50</w:t>
            </w:r>
          </w:p>
        </w:tc>
        <w:tc>
          <w:tcPr>
            <w:tcW w:w="1299" w:type="dxa"/>
            <w:tcBorders>
              <w:top w:val="single" w:sz="4" w:space="0" w:color="auto"/>
              <w:left w:val="single" w:sz="4" w:space="0" w:color="auto"/>
              <w:bottom w:val="single" w:sz="4" w:space="0" w:color="auto"/>
              <w:right w:val="single" w:sz="4" w:space="0" w:color="auto"/>
            </w:tcBorders>
            <w:vAlign w:val="bottom"/>
          </w:tcPr>
          <w:p w:rsidR="00224058" w:rsidRPr="00224058" w:rsidRDefault="00224058" w:rsidP="00224058">
            <w:pPr>
              <w:jc w:val="center"/>
              <w:rPr>
                <w:rFonts w:cs="Arial"/>
                <w:bCs/>
                <w:sz w:val="18"/>
                <w:szCs w:val="18"/>
              </w:rPr>
            </w:pPr>
            <w:r w:rsidRPr="00224058">
              <w:rPr>
                <w:rFonts w:cs="Arial"/>
                <w:bCs/>
                <w:sz w:val="18"/>
                <w:szCs w:val="18"/>
              </w:rPr>
              <w:t>0.5</w:t>
            </w:r>
          </w:p>
        </w:tc>
      </w:tr>
    </w:tbl>
    <w:p w:rsidR="000B6DF7" w:rsidRPr="008E314D" w:rsidRDefault="008E314D" w:rsidP="008E314D">
      <w:pPr>
        <w:pStyle w:val="Heading2"/>
      </w:pPr>
      <w:r>
        <w:t xml:space="preserve">* </w:t>
      </w:r>
      <w:r w:rsidRPr="008E314D">
        <w:t>= N</w:t>
      </w:r>
      <w:r>
        <w:t xml:space="preserve">ew </w:t>
      </w:r>
      <w:r w:rsidRPr="008E314D">
        <w:t>Z</w:t>
      </w:r>
      <w:r>
        <w:t>ealand</w:t>
      </w:r>
      <w:r w:rsidRPr="008E314D">
        <w:t xml:space="preserve"> samples</w:t>
      </w:r>
    </w:p>
    <w:p w:rsidR="008E314D" w:rsidRDefault="008E314D" w:rsidP="008E314D">
      <w:pPr>
        <w:rPr>
          <w:lang w:bidi="ar-SA"/>
        </w:rPr>
      </w:pPr>
    </w:p>
    <w:p w:rsidR="008E314D" w:rsidRPr="008E314D" w:rsidRDefault="008E314D" w:rsidP="008E314D">
      <w:pPr>
        <w:rPr>
          <w:lang w:bidi="ar-SA"/>
        </w:rPr>
        <w:sectPr w:rsidR="008E314D" w:rsidRPr="008E314D" w:rsidSect="000B6DF7">
          <w:footerReference w:type="default" r:id="rId42"/>
          <w:pgSz w:w="11906" w:h="16838"/>
          <w:pgMar w:top="1440" w:right="1440" w:bottom="1440" w:left="1440" w:header="709" w:footer="709" w:gutter="0"/>
          <w:cols w:space="708"/>
          <w:docGrid w:linePitch="360"/>
        </w:sectPr>
      </w:pPr>
    </w:p>
    <w:p w:rsidR="000B6DF7" w:rsidRPr="00CD2540" w:rsidRDefault="006617A3" w:rsidP="00A02C1A">
      <w:pPr>
        <w:pStyle w:val="Heading1"/>
        <w:spacing w:after="120"/>
        <w:ind w:left="0" w:firstLine="0"/>
        <w:rPr>
          <w:b w:val="0"/>
        </w:rPr>
      </w:pPr>
      <w:bookmarkStart w:id="54" w:name="_Toc387832042"/>
      <w:bookmarkStart w:id="55" w:name="_Toc389652022"/>
      <w:r>
        <w:rPr>
          <w:lang w:eastAsia="en-GB"/>
        </w:rPr>
        <w:lastRenderedPageBreak/>
        <w:t xml:space="preserve">Appendix 4 </w:t>
      </w:r>
      <w:r w:rsidR="000B6DF7" w:rsidRPr="00CD2540">
        <w:rPr>
          <w:b w:val="0"/>
          <w:lang w:eastAsia="en-GB"/>
        </w:rPr>
        <w:t>Summary of total TFA concentrations in 2005-07, 2008/09 and 2013 surveys</w:t>
      </w:r>
      <w:bookmarkEnd w:id="54"/>
      <w:bookmarkEnd w:id="55"/>
    </w:p>
    <w:p w:rsidR="000B6DF7" w:rsidRPr="00787AA1" w:rsidRDefault="000B6DF7" w:rsidP="007415EE">
      <w:pPr>
        <w:tabs>
          <w:tab w:val="left" w:pos="1701"/>
        </w:tabs>
        <w:spacing w:after="240"/>
        <w:rPr>
          <w:rFonts w:cs="Arial"/>
          <w:b/>
          <w:color w:val="000000"/>
          <w:lang w:eastAsia="en-GB"/>
        </w:rPr>
      </w:pPr>
      <w:r>
        <w:rPr>
          <w:rFonts w:cs="Arial"/>
          <w:b/>
          <w:color w:val="000000"/>
          <w:lang w:eastAsia="en-GB"/>
        </w:rPr>
        <w:t>Table A4.1</w:t>
      </w:r>
      <w:r w:rsidR="007415EE">
        <w:rPr>
          <w:rFonts w:cs="Arial"/>
          <w:b/>
          <w:color w:val="000000"/>
          <w:lang w:eastAsia="en-GB"/>
        </w:rPr>
        <w:tab/>
      </w:r>
      <w:r w:rsidRPr="00787AA1">
        <w:rPr>
          <w:rFonts w:cs="Arial"/>
          <w:color w:val="000000"/>
          <w:lang w:eastAsia="en-GB"/>
        </w:rPr>
        <w:t>Summary o</w:t>
      </w:r>
      <w:r w:rsidR="007415EE">
        <w:rPr>
          <w:rFonts w:cs="Arial"/>
          <w:color w:val="000000"/>
          <w:lang w:eastAsia="en-GB"/>
        </w:rPr>
        <w:t>f total TFA concentrations (g/100 g</w:t>
      </w:r>
      <w:r w:rsidRPr="00787AA1">
        <w:rPr>
          <w:rFonts w:cs="Arial"/>
          <w:color w:val="000000"/>
          <w:lang w:eastAsia="en-GB"/>
        </w:rPr>
        <w:t xml:space="preserve">) for </w:t>
      </w:r>
      <w:r>
        <w:rPr>
          <w:rFonts w:cs="Arial"/>
          <w:color w:val="000000"/>
          <w:lang w:eastAsia="en-GB"/>
        </w:rPr>
        <w:t>product categories</w:t>
      </w:r>
      <w:r w:rsidRPr="00787AA1">
        <w:rPr>
          <w:rFonts w:cs="Arial"/>
          <w:color w:val="000000"/>
          <w:lang w:eastAsia="en-GB"/>
        </w:rPr>
        <w:t xml:space="preserve"> tested in 2005-07, 2008/09 and 2013 survey</w:t>
      </w:r>
    </w:p>
    <w:tbl>
      <w:tblPr>
        <w:tblStyle w:val="LightList"/>
        <w:tblW w:w="15876" w:type="dxa"/>
        <w:tblInd w:w="-885" w:type="dxa"/>
        <w:tblLayout w:type="fixed"/>
        <w:tblLook w:val="04A0" w:firstRow="1" w:lastRow="0" w:firstColumn="1" w:lastColumn="0" w:noHBand="0" w:noVBand="1"/>
      </w:tblPr>
      <w:tblGrid>
        <w:gridCol w:w="1145"/>
        <w:gridCol w:w="1417"/>
        <w:gridCol w:w="991"/>
        <w:gridCol w:w="708"/>
        <w:gridCol w:w="992"/>
        <w:gridCol w:w="709"/>
        <w:gridCol w:w="1544"/>
        <w:gridCol w:w="1000"/>
        <w:gridCol w:w="709"/>
        <w:gridCol w:w="993"/>
        <w:gridCol w:w="708"/>
        <w:gridCol w:w="1559"/>
        <w:gridCol w:w="992"/>
        <w:gridCol w:w="708"/>
        <w:gridCol w:w="992"/>
        <w:gridCol w:w="709"/>
      </w:tblGrid>
      <w:tr w:rsidR="00A02D6E" w:rsidRPr="00013803" w:rsidTr="00A02D6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vMerge w:val="restart"/>
            <w:noWrap/>
            <w:hideMark/>
          </w:tcPr>
          <w:p w:rsidR="00A02D6E" w:rsidRPr="000542A8" w:rsidRDefault="00A02D6E" w:rsidP="00A02D6E">
            <w:pPr>
              <w:rPr>
                <w:rFonts w:eastAsia="Times New Roman"/>
                <w:b w:val="0"/>
                <w:sz w:val="18"/>
                <w:szCs w:val="18"/>
                <w:lang w:eastAsia="en-GB"/>
              </w:rPr>
            </w:pPr>
            <w:r w:rsidRPr="000542A8">
              <w:rPr>
                <w:rFonts w:eastAsia="Times New Roman"/>
                <w:b w:val="0"/>
                <w:sz w:val="18"/>
                <w:szCs w:val="18"/>
                <w:lang w:eastAsia="en-GB"/>
              </w:rPr>
              <w:t>Product category</w:t>
            </w:r>
          </w:p>
        </w:tc>
        <w:tc>
          <w:tcPr>
            <w:tcW w:w="4817" w:type="dxa"/>
            <w:gridSpan w:val="5"/>
            <w:noWrap/>
            <w:hideMark/>
          </w:tcPr>
          <w:p w:rsidR="00A02D6E" w:rsidRPr="000542A8" w:rsidRDefault="00A02D6E" w:rsidP="00A02D6E">
            <w:pPr>
              <w:jc w:val="center"/>
              <w:cnfStyle w:val="100000000000" w:firstRow="1" w:lastRow="0" w:firstColumn="0" w:lastColumn="0" w:oddVBand="0" w:evenVBand="0" w:oddHBand="0" w:evenHBand="0" w:firstRowFirstColumn="0" w:firstRowLastColumn="0" w:lastRowFirstColumn="0" w:lastRowLastColumn="0"/>
              <w:rPr>
                <w:rFonts w:eastAsia="Times New Roman"/>
                <w:b w:val="0"/>
                <w:sz w:val="18"/>
                <w:szCs w:val="18"/>
                <w:lang w:eastAsia="en-GB"/>
              </w:rPr>
            </w:pPr>
            <w:r w:rsidRPr="000542A8">
              <w:rPr>
                <w:rFonts w:eastAsia="Times New Roman"/>
                <w:b w:val="0"/>
                <w:sz w:val="18"/>
                <w:szCs w:val="18"/>
                <w:lang w:eastAsia="en-GB"/>
              </w:rPr>
              <w:t>2005-2007</w:t>
            </w:r>
          </w:p>
        </w:tc>
        <w:tc>
          <w:tcPr>
            <w:tcW w:w="4954" w:type="dxa"/>
            <w:gridSpan w:val="5"/>
            <w:noWrap/>
            <w:hideMark/>
          </w:tcPr>
          <w:p w:rsidR="00A02D6E" w:rsidRPr="000542A8" w:rsidRDefault="00A02C1A" w:rsidP="00A02D6E">
            <w:pPr>
              <w:jc w:val="center"/>
              <w:cnfStyle w:val="100000000000" w:firstRow="1" w:lastRow="0" w:firstColumn="0" w:lastColumn="0" w:oddVBand="0" w:evenVBand="0" w:oddHBand="0" w:evenHBand="0" w:firstRowFirstColumn="0" w:firstRowLastColumn="0" w:lastRowFirstColumn="0" w:lastRowLastColumn="0"/>
              <w:rPr>
                <w:rFonts w:eastAsia="Times New Roman"/>
                <w:b w:val="0"/>
                <w:sz w:val="18"/>
                <w:szCs w:val="18"/>
                <w:lang w:eastAsia="en-GB"/>
              </w:rPr>
            </w:pPr>
            <w:r>
              <w:rPr>
                <w:rFonts w:eastAsia="Times New Roman"/>
                <w:b w:val="0"/>
                <w:sz w:val="18"/>
                <w:szCs w:val="18"/>
                <w:lang w:eastAsia="en-GB"/>
              </w:rPr>
              <w:t>2008-</w:t>
            </w:r>
            <w:r w:rsidR="00A02D6E" w:rsidRPr="000542A8">
              <w:rPr>
                <w:rFonts w:eastAsia="Times New Roman"/>
                <w:b w:val="0"/>
                <w:sz w:val="18"/>
                <w:szCs w:val="18"/>
                <w:lang w:eastAsia="en-GB"/>
              </w:rPr>
              <w:t>2009</w:t>
            </w:r>
          </w:p>
        </w:tc>
        <w:tc>
          <w:tcPr>
            <w:tcW w:w="4960" w:type="dxa"/>
            <w:gridSpan w:val="5"/>
            <w:noWrap/>
            <w:hideMark/>
          </w:tcPr>
          <w:p w:rsidR="00A02D6E" w:rsidRPr="000542A8" w:rsidRDefault="00A02D6E" w:rsidP="00A02D6E">
            <w:pPr>
              <w:jc w:val="center"/>
              <w:cnfStyle w:val="100000000000" w:firstRow="1" w:lastRow="0" w:firstColumn="0" w:lastColumn="0" w:oddVBand="0" w:evenVBand="0" w:oddHBand="0" w:evenHBand="0" w:firstRowFirstColumn="0" w:firstRowLastColumn="0" w:lastRowFirstColumn="0" w:lastRowLastColumn="0"/>
              <w:rPr>
                <w:rFonts w:eastAsia="Times New Roman"/>
                <w:b w:val="0"/>
                <w:sz w:val="18"/>
                <w:szCs w:val="18"/>
                <w:lang w:eastAsia="en-GB"/>
              </w:rPr>
            </w:pPr>
            <w:r w:rsidRPr="000542A8">
              <w:rPr>
                <w:rFonts w:eastAsia="Times New Roman"/>
                <w:b w:val="0"/>
                <w:sz w:val="18"/>
                <w:szCs w:val="18"/>
                <w:lang w:eastAsia="en-GB"/>
              </w:rPr>
              <w:t>2013</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color w:val="000000"/>
                <w:sz w:val="18"/>
                <w:szCs w:val="18"/>
                <w:lang w:eastAsia="en-GB"/>
              </w:rPr>
            </w:pPr>
          </w:p>
        </w:tc>
        <w:tc>
          <w:tcPr>
            <w:tcW w:w="1417" w:type="dxa"/>
            <w:vMerge w:val="restart"/>
            <w:vAlign w:val="center"/>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Food ID</w:t>
            </w:r>
          </w:p>
        </w:tc>
        <w:tc>
          <w:tcPr>
            <w:tcW w:w="991" w:type="dxa"/>
            <w:vMerge w:val="restart"/>
            <w:vAlign w:val="center"/>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No of samples</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Min</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Median</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Max</w:t>
            </w:r>
          </w:p>
        </w:tc>
        <w:tc>
          <w:tcPr>
            <w:tcW w:w="1544" w:type="dxa"/>
            <w:vMerge w:val="restart"/>
            <w:noWrap/>
            <w:vAlign w:val="center"/>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Food ID</w:t>
            </w:r>
          </w:p>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p>
        </w:tc>
        <w:tc>
          <w:tcPr>
            <w:tcW w:w="1000" w:type="dxa"/>
            <w:vMerge w:val="restart"/>
            <w:vAlign w:val="center"/>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No of samples</w:t>
            </w:r>
          </w:p>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Min</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Median</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Max</w:t>
            </w:r>
          </w:p>
        </w:tc>
        <w:tc>
          <w:tcPr>
            <w:tcW w:w="1559" w:type="dxa"/>
            <w:vMerge w:val="restart"/>
            <w:noWrap/>
            <w:vAlign w:val="center"/>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Food ID</w:t>
            </w:r>
          </w:p>
        </w:tc>
        <w:tc>
          <w:tcPr>
            <w:tcW w:w="992" w:type="dxa"/>
            <w:vMerge w:val="restart"/>
            <w:vAlign w:val="center"/>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No of samples</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Min</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Median</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Max</w:t>
            </w:r>
          </w:p>
        </w:tc>
      </w:tr>
      <w:tr w:rsidR="00A02D6E" w:rsidRPr="00013803" w:rsidTr="00A02D6E">
        <w:trPr>
          <w:trHeight w:val="315"/>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color w:val="000000"/>
                <w:sz w:val="18"/>
                <w:szCs w:val="18"/>
                <w:lang w:eastAsia="en-GB"/>
              </w:rPr>
            </w:pPr>
          </w:p>
        </w:tc>
        <w:tc>
          <w:tcPr>
            <w:tcW w:w="1417" w:type="dxa"/>
            <w:vMerge/>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991" w:type="dxa"/>
            <w:vMerge/>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2409" w:type="dxa"/>
            <w:gridSpan w:val="3"/>
            <w:hideMark/>
          </w:tcPr>
          <w:p w:rsidR="00A02D6E" w:rsidRPr="000542A8" w:rsidRDefault="00864CC0"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Pr>
                <w:rFonts w:eastAsia="Times New Roman"/>
                <w:sz w:val="18"/>
                <w:szCs w:val="18"/>
                <w:lang w:eastAsia="en-GB"/>
              </w:rPr>
              <w:t>(g/100 g</w:t>
            </w:r>
            <w:r w:rsidR="00A02D6E" w:rsidRPr="000542A8">
              <w:rPr>
                <w:rFonts w:eastAsia="Times New Roman"/>
                <w:sz w:val="18"/>
                <w:szCs w:val="18"/>
                <w:lang w:eastAsia="en-GB"/>
              </w:rPr>
              <w:t>)</w:t>
            </w:r>
          </w:p>
        </w:tc>
        <w:tc>
          <w:tcPr>
            <w:tcW w:w="1544" w:type="dxa"/>
            <w:vMerge/>
            <w:noWrap/>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1000" w:type="dxa"/>
            <w:vMerge/>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2410" w:type="dxa"/>
            <w:gridSpan w:val="3"/>
          </w:tcPr>
          <w:p w:rsidR="00A02D6E" w:rsidRPr="000542A8" w:rsidRDefault="00864CC0"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Pr>
                <w:rFonts w:eastAsia="Times New Roman"/>
                <w:sz w:val="18"/>
                <w:szCs w:val="18"/>
                <w:lang w:eastAsia="en-GB"/>
              </w:rPr>
              <w:t>(g/100 g</w:t>
            </w:r>
            <w:r w:rsidR="00A02D6E" w:rsidRPr="000542A8">
              <w:rPr>
                <w:rFonts w:eastAsia="Times New Roman"/>
                <w:sz w:val="18"/>
                <w:szCs w:val="18"/>
                <w:lang w:eastAsia="en-GB"/>
              </w:rPr>
              <w:t>)</w:t>
            </w:r>
          </w:p>
        </w:tc>
        <w:tc>
          <w:tcPr>
            <w:tcW w:w="1559" w:type="dxa"/>
            <w:vMerge/>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992" w:type="dxa"/>
            <w:vMerge/>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2409" w:type="dxa"/>
            <w:gridSpan w:val="3"/>
          </w:tcPr>
          <w:p w:rsidR="00A02D6E" w:rsidRPr="000542A8" w:rsidRDefault="00864CC0"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Pr>
                <w:rFonts w:eastAsia="Times New Roman"/>
                <w:sz w:val="18"/>
                <w:szCs w:val="18"/>
                <w:lang w:eastAsia="en-GB"/>
              </w:rPr>
              <w:t>(g/100 g</w:t>
            </w:r>
            <w:r w:rsidR="00A02D6E" w:rsidRPr="000542A8">
              <w:rPr>
                <w:rFonts w:eastAsia="Times New Roman"/>
                <w:sz w:val="18"/>
                <w:szCs w:val="18"/>
                <w:lang w:eastAsia="en-GB"/>
              </w:rPr>
              <w:t>)</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val="restart"/>
            <w:hideMark/>
          </w:tcPr>
          <w:p w:rsidR="00A02D6E" w:rsidRPr="000542A8" w:rsidRDefault="00A02D6E" w:rsidP="00A02D6E">
            <w:pPr>
              <w:jc w:val="center"/>
              <w:rPr>
                <w:rFonts w:eastAsia="Times New Roman"/>
                <w:b w:val="0"/>
                <w:bCs w:val="0"/>
                <w:color w:val="000000"/>
                <w:sz w:val="18"/>
                <w:szCs w:val="18"/>
                <w:lang w:eastAsia="en-GB"/>
              </w:rPr>
            </w:pPr>
            <w:r w:rsidRPr="000542A8">
              <w:rPr>
                <w:rFonts w:eastAsia="Times New Roman"/>
                <w:b w:val="0"/>
                <w:bCs w:val="0"/>
                <w:color w:val="000000"/>
                <w:sz w:val="18"/>
                <w:szCs w:val="18"/>
                <w:lang w:eastAsia="en-GB"/>
              </w:rPr>
              <w:t>Takeaway Foods</w:t>
            </w: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Chicken Nuggets</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0.35</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0.7</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Chicken Nuggets</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26</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0.8</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Chicken Products ›</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21.00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0.10</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0.23</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0.43</w:t>
            </w:r>
          </w:p>
        </w:tc>
      </w:tr>
      <w:tr w:rsidR="00A02D6E" w:rsidRPr="00013803" w:rsidTr="00A02D6E">
        <w:trPr>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Deep Fried Fish Fillets</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5</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0.7</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Deep Fried Fish Fillets</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16</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0.8</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Crumbed/ Battered Fish Fillets ›</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21.00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0.21</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0.66</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Dumpling^</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13</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0.5</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Falafel</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9</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Falafel</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9.00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0.08</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0.12</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0.59</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Fried Noodle Dishes</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13</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Fried Noodle Dishes</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9.00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0.02</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0.11</w:t>
            </w:r>
          </w:p>
        </w:tc>
      </w:tr>
      <w:tr w:rsidR="00A02D6E" w:rsidRPr="00013803" w:rsidTr="00A02D6E">
        <w:trPr>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Hot Chips</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1.6</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Hot Chips</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31</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1.4</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Hot Chips/Potato Products ›</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23.00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0.10</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0.40</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Pizza</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5</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Pizza</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14</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Pizza ›</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20.00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0.14</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0.53</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Spring Rolls</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16</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1.3</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Spring Rolls ›</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9.00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0.21</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0.33</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Sweet &amp; Sour Pork</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14</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0.29</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Restaurant Style Takeaway Dishes ›</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17.00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0.14</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0.77</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val="restart"/>
            <w:hideMark/>
          </w:tcPr>
          <w:p w:rsidR="00A02D6E" w:rsidRPr="000542A8" w:rsidRDefault="00A02D6E" w:rsidP="00A02D6E">
            <w:pPr>
              <w:rPr>
                <w:rFonts w:eastAsia="Times New Roman"/>
                <w:b w:val="0"/>
                <w:bCs w:val="0"/>
                <w:color w:val="000000"/>
                <w:sz w:val="18"/>
                <w:szCs w:val="18"/>
                <w:lang w:eastAsia="en-GB"/>
              </w:rPr>
            </w:pPr>
            <w:r w:rsidRPr="000542A8">
              <w:rPr>
                <w:rFonts w:eastAsia="Times New Roman"/>
                <w:b w:val="0"/>
                <w:bCs w:val="0"/>
                <w:color w:val="000000"/>
                <w:sz w:val="18"/>
                <w:szCs w:val="18"/>
                <w:lang w:eastAsia="en-GB"/>
              </w:rPr>
              <w:br/>
              <w:t>Snack Foods</w:t>
            </w: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Corn Cakes^</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3</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Extruded Snacks</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Extruded Snacks</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4</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Extruded Snacks</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13.00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0.19</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0.76</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Popcorn</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10</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11.53</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Popcorn</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11.00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0.20</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4.83</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Potato Crisps</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13</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0.6</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1.8</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Potato Crisps</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15</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1.4</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Potato Crisps &amp; Corn Chips ›</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16.00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0.08</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0.20</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0.43</w:t>
            </w:r>
          </w:p>
        </w:tc>
      </w:tr>
      <w:tr w:rsidR="001B5D9A" w:rsidRPr="00013803" w:rsidTr="001B5D9A">
        <w:trPr>
          <w:trHeight w:val="315"/>
        </w:trPr>
        <w:tc>
          <w:tcPr>
            <w:cnfStyle w:val="001000000000" w:firstRow="0" w:lastRow="0" w:firstColumn="1" w:lastColumn="0" w:oddVBand="0" w:evenVBand="0" w:oddHBand="0" w:evenHBand="0" w:firstRowFirstColumn="0" w:firstRowLastColumn="0" w:lastRowFirstColumn="0" w:lastRowLastColumn="0"/>
            <w:tcW w:w="1145" w:type="dxa"/>
            <w:vMerge w:val="restart"/>
            <w:shd w:val="clear" w:color="auto" w:fill="000000" w:themeFill="text1"/>
            <w:noWrap/>
            <w:hideMark/>
          </w:tcPr>
          <w:p w:rsidR="001B5D9A" w:rsidRPr="000542A8" w:rsidRDefault="001B5D9A" w:rsidP="00B75E6C">
            <w:pPr>
              <w:rPr>
                <w:rFonts w:eastAsia="Times New Roman"/>
                <w:b w:val="0"/>
                <w:sz w:val="18"/>
                <w:szCs w:val="18"/>
                <w:lang w:eastAsia="en-GB"/>
              </w:rPr>
            </w:pPr>
            <w:r w:rsidRPr="000542A8">
              <w:rPr>
                <w:rFonts w:eastAsia="Times New Roman"/>
                <w:b w:val="0"/>
                <w:sz w:val="18"/>
                <w:szCs w:val="18"/>
                <w:lang w:eastAsia="en-GB"/>
              </w:rPr>
              <w:lastRenderedPageBreak/>
              <w:t>Product category</w:t>
            </w:r>
          </w:p>
        </w:tc>
        <w:tc>
          <w:tcPr>
            <w:tcW w:w="4817" w:type="dxa"/>
            <w:gridSpan w:val="5"/>
            <w:shd w:val="clear" w:color="auto" w:fill="000000" w:themeFill="text1"/>
            <w:noWrap/>
            <w:hideMark/>
          </w:tcPr>
          <w:p w:rsidR="001B5D9A" w:rsidRPr="000542A8"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lang w:eastAsia="en-GB"/>
              </w:rPr>
            </w:pPr>
            <w:r w:rsidRPr="000542A8">
              <w:rPr>
                <w:rFonts w:eastAsia="Times New Roman"/>
                <w:sz w:val="18"/>
                <w:szCs w:val="18"/>
                <w:lang w:eastAsia="en-GB"/>
              </w:rPr>
              <w:t>2005-2007</w:t>
            </w:r>
          </w:p>
        </w:tc>
        <w:tc>
          <w:tcPr>
            <w:tcW w:w="4954" w:type="dxa"/>
            <w:gridSpan w:val="5"/>
            <w:shd w:val="clear" w:color="auto" w:fill="000000" w:themeFill="text1"/>
            <w:noWrap/>
            <w:hideMark/>
          </w:tcPr>
          <w:p w:rsidR="001B5D9A" w:rsidRPr="000542A8" w:rsidRDefault="00A02C1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lang w:eastAsia="en-GB"/>
              </w:rPr>
            </w:pPr>
            <w:r>
              <w:rPr>
                <w:rFonts w:eastAsia="Times New Roman"/>
                <w:sz w:val="18"/>
                <w:szCs w:val="18"/>
                <w:lang w:eastAsia="en-GB"/>
              </w:rPr>
              <w:t>2008-</w:t>
            </w:r>
            <w:r w:rsidR="001B5D9A" w:rsidRPr="000542A8">
              <w:rPr>
                <w:rFonts w:eastAsia="Times New Roman"/>
                <w:sz w:val="18"/>
                <w:szCs w:val="18"/>
                <w:lang w:eastAsia="en-GB"/>
              </w:rPr>
              <w:t>2009</w:t>
            </w:r>
          </w:p>
        </w:tc>
        <w:tc>
          <w:tcPr>
            <w:tcW w:w="4960" w:type="dxa"/>
            <w:gridSpan w:val="5"/>
            <w:shd w:val="clear" w:color="auto" w:fill="000000" w:themeFill="text1"/>
            <w:noWrap/>
            <w:hideMark/>
          </w:tcPr>
          <w:p w:rsidR="001B5D9A" w:rsidRPr="000542A8"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lang w:eastAsia="en-GB"/>
              </w:rPr>
            </w:pPr>
            <w:r w:rsidRPr="000542A8">
              <w:rPr>
                <w:rFonts w:eastAsia="Times New Roman"/>
                <w:sz w:val="18"/>
                <w:szCs w:val="18"/>
                <w:lang w:eastAsia="en-GB"/>
              </w:rPr>
              <w:t>2013</w:t>
            </w:r>
          </w:p>
        </w:tc>
      </w:tr>
      <w:tr w:rsidR="001B5D9A" w:rsidRPr="00013803" w:rsidTr="00B75E6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1B5D9A" w:rsidRPr="000542A8" w:rsidRDefault="001B5D9A" w:rsidP="00B75E6C">
            <w:pPr>
              <w:jc w:val="center"/>
              <w:rPr>
                <w:rFonts w:eastAsia="Times New Roman"/>
                <w:color w:val="000000"/>
                <w:sz w:val="18"/>
                <w:szCs w:val="18"/>
                <w:lang w:eastAsia="en-GB"/>
              </w:rPr>
            </w:pPr>
          </w:p>
        </w:tc>
        <w:tc>
          <w:tcPr>
            <w:tcW w:w="1417" w:type="dxa"/>
            <w:vMerge w:val="restart"/>
            <w:vAlign w:val="center"/>
            <w:hideMark/>
          </w:tcPr>
          <w:p w:rsidR="001B5D9A" w:rsidRPr="000542A8"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Food ID</w:t>
            </w:r>
          </w:p>
        </w:tc>
        <w:tc>
          <w:tcPr>
            <w:tcW w:w="991" w:type="dxa"/>
            <w:vMerge w:val="restart"/>
            <w:vAlign w:val="center"/>
            <w:hideMark/>
          </w:tcPr>
          <w:p w:rsidR="001B5D9A" w:rsidRPr="000542A8"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No of samples</w:t>
            </w:r>
          </w:p>
        </w:tc>
        <w:tc>
          <w:tcPr>
            <w:tcW w:w="708" w:type="dxa"/>
            <w:hideMark/>
          </w:tcPr>
          <w:p w:rsidR="001B5D9A" w:rsidRPr="000542A8"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Min</w:t>
            </w:r>
          </w:p>
        </w:tc>
        <w:tc>
          <w:tcPr>
            <w:tcW w:w="992" w:type="dxa"/>
            <w:hideMark/>
          </w:tcPr>
          <w:p w:rsidR="001B5D9A" w:rsidRPr="000542A8"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Median</w:t>
            </w:r>
          </w:p>
        </w:tc>
        <w:tc>
          <w:tcPr>
            <w:tcW w:w="709" w:type="dxa"/>
            <w:hideMark/>
          </w:tcPr>
          <w:p w:rsidR="001B5D9A" w:rsidRPr="000542A8"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Max</w:t>
            </w:r>
          </w:p>
        </w:tc>
        <w:tc>
          <w:tcPr>
            <w:tcW w:w="1544" w:type="dxa"/>
            <w:vMerge w:val="restart"/>
            <w:noWrap/>
            <w:vAlign w:val="center"/>
            <w:hideMark/>
          </w:tcPr>
          <w:p w:rsidR="001B5D9A" w:rsidRPr="000542A8"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Food ID</w:t>
            </w:r>
          </w:p>
          <w:p w:rsidR="001B5D9A" w:rsidRPr="000542A8"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p>
        </w:tc>
        <w:tc>
          <w:tcPr>
            <w:tcW w:w="1000" w:type="dxa"/>
            <w:vMerge w:val="restart"/>
            <w:vAlign w:val="center"/>
            <w:hideMark/>
          </w:tcPr>
          <w:p w:rsidR="001B5D9A" w:rsidRPr="000542A8"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No of samples</w:t>
            </w:r>
          </w:p>
          <w:p w:rsidR="001B5D9A" w:rsidRPr="000542A8"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p>
        </w:tc>
        <w:tc>
          <w:tcPr>
            <w:tcW w:w="709" w:type="dxa"/>
            <w:hideMark/>
          </w:tcPr>
          <w:p w:rsidR="001B5D9A" w:rsidRPr="000542A8"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Min</w:t>
            </w:r>
          </w:p>
        </w:tc>
        <w:tc>
          <w:tcPr>
            <w:tcW w:w="993" w:type="dxa"/>
            <w:hideMark/>
          </w:tcPr>
          <w:p w:rsidR="001B5D9A" w:rsidRPr="000542A8"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Median</w:t>
            </w:r>
          </w:p>
        </w:tc>
        <w:tc>
          <w:tcPr>
            <w:tcW w:w="708" w:type="dxa"/>
            <w:hideMark/>
          </w:tcPr>
          <w:p w:rsidR="001B5D9A" w:rsidRPr="000542A8"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Max</w:t>
            </w:r>
          </w:p>
        </w:tc>
        <w:tc>
          <w:tcPr>
            <w:tcW w:w="1559" w:type="dxa"/>
            <w:vMerge w:val="restart"/>
            <w:noWrap/>
            <w:vAlign w:val="center"/>
            <w:hideMark/>
          </w:tcPr>
          <w:p w:rsidR="001B5D9A" w:rsidRPr="000542A8"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Food ID</w:t>
            </w:r>
          </w:p>
        </w:tc>
        <w:tc>
          <w:tcPr>
            <w:tcW w:w="992" w:type="dxa"/>
            <w:vMerge w:val="restart"/>
            <w:vAlign w:val="center"/>
            <w:hideMark/>
          </w:tcPr>
          <w:p w:rsidR="001B5D9A" w:rsidRPr="000542A8"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No of samples</w:t>
            </w:r>
          </w:p>
        </w:tc>
        <w:tc>
          <w:tcPr>
            <w:tcW w:w="708" w:type="dxa"/>
            <w:hideMark/>
          </w:tcPr>
          <w:p w:rsidR="001B5D9A" w:rsidRPr="000542A8"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Min</w:t>
            </w:r>
          </w:p>
        </w:tc>
        <w:tc>
          <w:tcPr>
            <w:tcW w:w="992" w:type="dxa"/>
            <w:hideMark/>
          </w:tcPr>
          <w:p w:rsidR="001B5D9A" w:rsidRPr="000542A8"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Median</w:t>
            </w:r>
          </w:p>
        </w:tc>
        <w:tc>
          <w:tcPr>
            <w:tcW w:w="709" w:type="dxa"/>
            <w:hideMark/>
          </w:tcPr>
          <w:p w:rsidR="001B5D9A" w:rsidRPr="000542A8"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0542A8">
              <w:rPr>
                <w:rFonts w:eastAsia="Times New Roman"/>
                <w:sz w:val="18"/>
                <w:szCs w:val="18"/>
                <w:lang w:eastAsia="en-GB"/>
              </w:rPr>
              <w:t>Max</w:t>
            </w:r>
          </w:p>
        </w:tc>
      </w:tr>
      <w:tr w:rsidR="001B5D9A" w:rsidRPr="00013803" w:rsidTr="00B75E6C">
        <w:trPr>
          <w:trHeight w:val="315"/>
        </w:trPr>
        <w:tc>
          <w:tcPr>
            <w:cnfStyle w:val="001000000000" w:firstRow="0" w:lastRow="0" w:firstColumn="1" w:lastColumn="0" w:oddVBand="0" w:evenVBand="0" w:oddHBand="0" w:evenHBand="0" w:firstRowFirstColumn="0" w:firstRowLastColumn="0" w:lastRowFirstColumn="0" w:lastRowLastColumn="0"/>
            <w:tcW w:w="1145" w:type="dxa"/>
            <w:vMerge/>
            <w:hideMark/>
          </w:tcPr>
          <w:p w:rsidR="001B5D9A" w:rsidRPr="000542A8" w:rsidRDefault="001B5D9A" w:rsidP="00B75E6C">
            <w:pPr>
              <w:jc w:val="center"/>
              <w:rPr>
                <w:rFonts w:eastAsia="Times New Roman"/>
                <w:color w:val="000000"/>
                <w:sz w:val="18"/>
                <w:szCs w:val="18"/>
                <w:lang w:eastAsia="en-GB"/>
              </w:rPr>
            </w:pPr>
          </w:p>
        </w:tc>
        <w:tc>
          <w:tcPr>
            <w:tcW w:w="1417" w:type="dxa"/>
            <w:vMerge/>
            <w:hideMark/>
          </w:tcPr>
          <w:p w:rsidR="001B5D9A" w:rsidRPr="000542A8"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991" w:type="dxa"/>
            <w:vMerge/>
            <w:hideMark/>
          </w:tcPr>
          <w:p w:rsidR="001B5D9A" w:rsidRPr="000542A8"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2409" w:type="dxa"/>
            <w:gridSpan w:val="3"/>
            <w:hideMark/>
          </w:tcPr>
          <w:p w:rsidR="001B5D9A" w:rsidRPr="000542A8" w:rsidRDefault="00864CC0"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Pr>
                <w:rFonts w:eastAsia="Times New Roman"/>
                <w:sz w:val="18"/>
                <w:szCs w:val="18"/>
                <w:lang w:eastAsia="en-GB"/>
              </w:rPr>
              <w:t>(g/100 g</w:t>
            </w:r>
            <w:r w:rsidR="001B5D9A" w:rsidRPr="000542A8">
              <w:rPr>
                <w:rFonts w:eastAsia="Times New Roman"/>
                <w:sz w:val="18"/>
                <w:szCs w:val="18"/>
                <w:lang w:eastAsia="en-GB"/>
              </w:rPr>
              <w:t>)</w:t>
            </w:r>
          </w:p>
        </w:tc>
        <w:tc>
          <w:tcPr>
            <w:tcW w:w="1544" w:type="dxa"/>
            <w:vMerge/>
            <w:noWrap/>
            <w:hideMark/>
          </w:tcPr>
          <w:p w:rsidR="001B5D9A" w:rsidRPr="000542A8"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1000" w:type="dxa"/>
            <w:vMerge/>
            <w:hideMark/>
          </w:tcPr>
          <w:p w:rsidR="001B5D9A" w:rsidRPr="000542A8"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2410" w:type="dxa"/>
            <w:gridSpan w:val="3"/>
          </w:tcPr>
          <w:p w:rsidR="001B5D9A" w:rsidRPr="000542A8" w:rsidRDefault="00864CC0"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Pr>
                <w:rFonts w:eastAsia="Times New Roman"/>
                <w:sz w:val="18"/>
                <w:szCs w:val="18"/>
                <w:lang w:eastAsia="en-GB"/>
              </w:rPr>
              <w:t>(g/100 g</w:t>
            </w:r>
            <w:r w:rsidR="001B5D9A" w:rsidRPr="000542A8">
              <w:rPr>
                <w:rFonts w:eastAsia="Times New Roman"/>
                <w:sz w:val="18"/>
                <w:szCs w:val="18"/>
                <w:lang w:eastAsia="en-GB"/>
              </w:rPr>
              <w:t>)</w:t>
            </w:r>
          </w:p>
        </w:tc>
        <w:tc>
          <w:tcPr>
            <w:tcW w:w="1559" w:type="dxa"/>
            <w:vMerge/>
            <w:hideMark/>
          </w:tcPr>
          <w:p w:rsidR="001B5D9A" w:rsidRPr="000542A8" w:rsidRDefault="001B5D9A" w:rsidP="00B75E6C">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992" w:type="dxa"/>
            <w:vMerge/>
            <w:hideMark/>
          </w:tcPr>
          <w:p w:rsidR="001B5D9A" w:rsidRPr="000542A8"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2409" w:type="dxa"/>
            <w:gridSpan w:val="3"/>
          </w:tcPr>
          <w:p w:rsidR="001B5D9A" w:rsidRPr="000542A8" w:rsidRDefault="00864CC0"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Pr>
                <w:rFonts w:eastAsia="Times New Roman"/>
                <w:sz w:val="18"/>
                <w:szCs w:val="18"/>
                <w:lang w:eastAsia="en-GB"/>
              </w:rPr>
              <w:t>(g/100 g</w:t>
            </w:r>
            <w:r w:rsidR="001B5D9A" w:rsidRPr="000542A8">
              <w:rPr>
                <w:rFonts w:eastAsia="Times New Roman"/>
                <w:sz w:val="18"/>
                <w:szCs w:val="18"/>
                <w:lang w:eastAsia="en-GB"/>
              </w:rPr>
              <w:t>)</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val="restart"/>
            <w:hideMark/>
          </w:tcPr>
          <w:p w:rsidR="00A02D6E" w:rsidRPr="000542A8" w:rsidRDefault="00A02D6E" w:rsidP="00A02D6E">
            <w:pPr>
              <w:rPr>
                <w:rFonts w:eastAsia="Times New Roman"/>
                <w:b w:val="0"/>
                <w:bCs w:val="0"/>
                <w:color w:val="000000"/>
                <w:sz w:val="18"/>
                <w:szCs w:val="18"/>
                <w:lang w:eastAsia="en-GB"/>
              </w:rPr>
            </w:pPr>
            <w:r w:rsidRPr="000542A8">
              <w:rPr>
                <w:rFonts w:eastAsia="Times New Roman"/>
                <w:b w:val="0"/>
                <w:bCs w:val="0"/>
                <w:color w:val="000000"/>
                <w:sz w:val="18"/>
                <w:szCs w:val="18"/>
                <w:lang w:eastAsia="en-GB"/>
              </w:rPr>
              <w:t>Fats &amp; Oils</w:t>
            </w: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Edible Oil Spreads</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0.25</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2.9</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Edible Oil Spreads</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17</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0.5</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3.16</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Edible Oil Spreads</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18.00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0.40</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0.65</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2.00</w:t>
            </w:r>
          </w:p>
        </w:tc>
      </w:tr>
      <w:tr w:rsidR="00A02D6E" w:rsidRPr="00013803" w:rsidTr="00A02D6E">
        <w:trPr>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Oil Based Dressings</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3</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Oil Based Dressings</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9</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0.7</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Oil Based Dressings</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8.00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0.06</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0.30</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0.95</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Blended Edible Oils</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5</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1.5</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3.1</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Vegetable Oil ›</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12.00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0.71</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1.70</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val="restart"/>
            <w:hideMark/>
          </w:tcPr>
          <w:p w:rsidR="00A02D6E" w:rsidRPr="000542A8" w:rsidRDefault="00A02D6E" w:rsidP="00A02D6E">
            <w:pPr>
              <w:rPr>
                <w:rFonts w:eastAsia="Times New Roman"/>
                <w:b w:val="0"/>
                <w:bCs w:val="0"/>
                <w:color w:val="000000"/>
                <w:sz w:val="18"/>
                <w:szCs w:val="18"/>
                <w:lang w:eastAsia="en-GB"/>
              </w:rPr>
            </w:pPr>
            <w:r w:rsidRPr="000542A8">
              <w:rPr>
                <w:rFonts w:eastAsia="Times New Roman"/>
                <w:b w:val="0"/>
                <w:bCs w:val="0"/>
                <w:color w:val="000000"/>
                <w:sz w:val="18"/>
                <w:szCs w:val="18"/>
                <w:lang w:eastAsia="en-GB"/>
              </w:rPr>
              <w:t>Meat Products</w:t>
            </w: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Meat Pies</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5</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0.4</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0.5</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Meat Pies</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20</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0.15</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0.6</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0.9</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Meat Pies ›</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12.00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0.10</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0.42</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0.96</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Sausage Rolls</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5</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0.6</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Sausage Rolls</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19</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0.09</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0.8</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2.1</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Sausage Rolls ›</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14.00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0.08</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0.62</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1.32</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val="restart"/>
            <w:hideMark/>
          </w:tcPr>
          <w:p w:rsidR="00A02D6E" w:rsidRPr="000542A8" w:rsidRDefault="00A02D6E" w:rsidP="00A02D6E">
            <w:pPr>
              <w:rPr>
                <w:rFonts w:eastAsia="Times New Roman"/>
                <w:b w:val="0"/>
                <w:bCs w:val="0"/>
                <w:color w:val="000000"/>
                <w:sz w:val="18"/>
                <w:szCs w:val="18"/>
                <w:lang w:eastAsia="en-GB"/>
              </w:rPr>
            </w:pPr>
            <w:r w:rsidRPr="000542A8">
              <w:rPr>
                <w:rFonts w:eastAsia="Times New Roman"/>
                <w:b w:val="0"/>
                <w:bCs w:val="0"/>
                <w:color w:val="000000"/>
                <w:sz w:val="18"/>
                <w:szCs w:val="18"/>
                <w:lang w:eastAsia="en-GB"/>
              </w:rPr>
              <w:t>Bakery Products</w:t>
            </w: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Chocolate Biscuits</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5</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Chocolate Biscuits</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12</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0.38</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Chocolate Biscuits</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31.00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0.26</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1.06</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Sweet Biscuits *</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12.00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0.10</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0.41</w:t>
            </w:r>
          </w:p>
        </w:tc>
      </w:tr>
      <w:tr w:rsidR="00A02D6E" w:rsidRPr="00013803" w:rsidTr="00A02D6E">
        <w:trPr>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Cream Filled Biscuits</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6</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0.35</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1.4</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Cream Filled Biscuits</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14</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0.8</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 xml:space="preserve">Cream Biscuits </w:t>
            </w:r>
            <w:r w:rsidRPr="000542A8">
              <w:rPr>
                <w:sz w:val="18"/>
                <w:szCs w:val="18"/>
              </w:rPr>
              <w:t>+</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13.00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0.10</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0.25</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1.7</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Croissant</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5</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0.4</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0.5</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Croissant</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17</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1.4</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Croissant</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10.00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0.40</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1.02</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1.36</w:t>
            </w:r>
          </w:p>
        </w:tc>
      </w:tr>
      <w:tr w:rsidR="00A02D6E" w:rsidRPr="00013803" w:rsidTr="00A02D6E">
        <w:trPr>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Custard Danish</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5</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0.4</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Custard Danish</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18</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0.6</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1.2</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Custard Baked Goods ›</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10.00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0.14</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0.58</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0.88</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Desserts *</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16.00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0.38</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0.75</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Donut</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22</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8.7</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Donut</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23</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0.5</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1.27</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Donut</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14.00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0.39</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0.91</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Pikelets /Pancakes</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11</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Pikelets /Pancakes</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8.00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0.05</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Prepared Pastry</w:t>
            </w:r>
          </w:p>
        </w:tc>
        <w:tc>
          <w:tcPr>
            <w:tcW w:w="991"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5</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0.9</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1.4</w:t>
            </w:r>
          </w:p>
        </w:tc>
        <w:tc>
          <w:tcPr>
            <w:tcW w:w="1544"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Prepared Pastry</w:t>
            </w:r>
          </w:p>
        </w:tc>
        <w:tc>
          <w:tcPr>
            <w:tcW w:w="1000"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19</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0.02</w:t>
            </w:r>
          </w:p>
        </w:tc>
        <w:tc>
          <w:tcPr>
            <w:tcW w:w="993"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1.35</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2.8</w:t>
            </w:r>
          </w:p>
        </w:tc>
        <w:tc>
          <w:tcPr>
            <w:tcW w:w="1559" w:type="dxa"/>
            <w:hideMark/>
          </w:tcPr>
          <w:p w:rsidR="00A02D6E" w:rsidRPr="000542A8"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Prepared Pastry</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13.00</w:t>
            </w:r>
          </w:p>
        </w:tc>
        <w:tc>
          <w:tcPr>
            <w:tcW w:w="708"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0.20</w:t>
            </w:r>
          </w:p>
        </w:tc>
        <w:tc>
          <w:tcPr>
            <w:tcW w:w="992"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0.96</w:t>
            </w:r>
          </w:p>
        </w:tc>
        <w:tc>
          <w:tcPr>
            <w:tcW w:w="709" w:type="dxa"/>
            <w:hideMark/>
          </w:tcPr>
          <w:p w:rsidR="00A02D6E" w:rsidRPr="000542A8"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1.53</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0542A8" w:rsidRDefault="00A02D6E" w:rsidP="00A02D6E">
            <w:pPr>
              <w:jc w:val="center"/>
              <w:rPr>
                <w:rFonts w:eastAsia="Times New Roman"/>
                <w:b w:val="0"/>
                <w:bCs w:val="0"/>
                <w:color w:val="000000"/>
                <w:sz w:val="18"/>
                <w:szCs w:val="18"/>
                <w:lang w:eastAsia="en-GB"/>
              </w:rPr>
            </w:pPr>
          </w:p>
        </w:tc>
        <w:tc>
          <w:tcPr>
            <w:tcW w:w="1417"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991"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44"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N/A</w:t>
            </w:r>
          </w:p>
        </w:tc>
        <w:tc>
          <w:tcPr>
            <w:tcW w:w="1000"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993"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w:t>
            </w:r>
          </w:p>
        </w:tc>
        <w:tc>
          <w:tcPr>
            <w:tcW w:w="1559" w:type="dxa"/>
            <w:hideMark/>
          </w:tcPr>
          <w:p w:rsidR="00A02D6E" w:rsidRPr="000542A8"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Savoury Biscuits - Rice Crackers and Crispbreads *</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10.00</w:t>
            </w:r>
          </w:p>
        </w:tc>
        <w:tc>
          <w:tcPr>
            <w:tcW w:w="708"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&lt;0.1</w:t>
            </w:r>
          </w:p>
        </w:tc>
        <w:tc>
          <w:tcPr>
            <w:tcW w:w="992"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0.04</w:t>
            </w:r>
          </w:p>
        </w:tc>
        <w:tc>
          <w:tcPr>
            <w:tcW w:w="709" w:type="dxa"/>
            <w:hideMark/>
          </w:tcPr>
          <w:p w:rsidR="00A02D6E" w:rsidRPr="000542A8"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0542A8">
              <w:rPr>
                <w:rFonts w:eastAsia="Times New Roman"/>
                <w:color w:val="000000"/>
                <w:sz w:val="18"/>
                <w:szCs w:val="18"/>
                <w:lang w:eastAsia="en-GB"/>
              </w:rPr>
              <w:t>0.12</w:t>
            </w:r>
          </w:p>
        </w:tc>
      </w:tr>
    </w:tbl>
    <w:p w:rsidR="001B5D9A" w:rsidRDefault="001B5D9A"/>
    <w:p w:rsidR="001B5D9A" w:rsidRDefault="001B5D9A" w:rsidP="001B5D9A">
      <w:pPr>
        <w:widowControl/>
      </w:pPr>
      <w:r>
        <w:br w:type="page"/>
      </w:r>
    </w:p>
    <w:tbl>
      <w:tblPr>
        <w:tblStyle w:val="LightList"/>
        <w:tblW w:w="15876" w:type="dxa"/>
        <w:tblInd w:w="-885" w:type="dxa"/>
        <w:tblLayout w:type="fixed"/>
        <w:tblLook w:val="04A0" w:firstRow="1" w:lastRow="0" w:firstColumn="1" w:lastColumn="0" w:noHBand="0" w:noVBand="1"/>
      </w:tblPr>
      <w:tblGrid>
        <w:gridCol w:w="1145"/>
        <w:gridCol w:w="1417"/>
        <w:gridCol w:w="991"/>
        <w:gridCol w:w="708"/>
        <w:gridCol w:w="992"/>
        <w:gridCol w:w="709"/>
        <w:gridCol w:w="1544"/>
        <w:gridCol w:w="1000"/>
        <w:gridCol w:w="709"/>
        <w:gridCol w:w="993"/>
        <w:gridCol w:w="708"/>
        <w:gridCol w:w="1559"/>
        <w:gridCol w:w="992"/>
        <w:gridCol w:w="708"/>
        <w:gridCol w:w="992"/>
        <w:gridCol w:w="709"/>
      </w:tblGrid>
      <w:tr w:rsidR="001B5D9A" w:rsidRPr="00013803" w:rsidTr="00B75E6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vMerge w:val="restart"/>
            <w:noWrap/>
            <w:hideMark/>
          </w:tcPr>
          <w:p w:rsidR="001B5D9A" w:rsidRPr="007415EE" w:rsidRDefault="001B5D9A" w:rsidP="00B75E6C">
            <w:pPr>
              <w:rPr>
                <w:rFonts w:eastAsia="Times New Roman"/>
                <w:b w:val="0"/>
                <w:sz w:val="18"/>
                <w:szCs w:val="18"/>
                <w:lang w:eastAsia="en-GB"/>
              </w:rPr>
            </w:pPr>
            <w:r w:rsidRPr="007415EE">
              <w:rPr>
                <w:rFonts w:eastAsia="Times New Roman"/>
                <w:b w:val="0"/>
                <w:sz w:val="18"/>
                <w:szCs w:val="18"/>
                <w:lang w:eastAsia="en-GB"/>
              </w:rPr>
              <w:lastRenderedPageBreak/>
              <w:t>Product category</w:t>
            </w:r>
          </w:p>
        </w:tc>
        <w:tc>
          <w:tcPr>
            <w:tcW w:w="4817" w:type="dxa"/>
            <w:gridSpan w:val="5"/>
            <w:noWrap/>
            <w:hideMark/>
          </w:tcPr>
          <w:p w:rsidR="001B5D9A" w:rsidRPr="007415EE" w:rsidRDefault="001B5D9A" w:rsidP="00B75E6C">
            <w:pPr>
              <w:jc w:val="center"/>
              <w:cnfStyle w:val="100000000000" w:firstRow="1" w:lastRow="0" w:firstColumn="0" w:lastColumn="0" w:oddVBand="0" w:evenVBand="0" w:oddHBand="0" w:evenHBand="0" w:firstRowFirstColumn="0" w:firstRowLastColumn="0" w:lastRowFirstColumn="0" w:lastRowLastColumn="0"/>
              <w:rPr>
                <w:rFonts w:eastAsia="Times New Roman"/>
                <w:b w:val="0"/>
                <w:sz w:val="18"/>
                <w:szCs w:val="18"/>
                <w:lang w:eastAsia="en-GB"/>
              </w:rPr>
            </w:pPr>
            <w:r w:rsidRPr="007415EE">
              <w:rPr>
                <w:rFonts w:eastAsia="Times New Roman"/>
                <w:b w:val="0"/>
                <w:sz w:val="18"/>
                <w:szCs w:val="18"/>
                <w:lang w:eastAsia="en-GB"/>
              </w:rPr>
              <w:t>2005-2007</w:t>
            </w:r>
          </w:p>
        </w:tc>
        <w:tc>
          <w:tcPr>
            <w:tcW w:w="4954" w:type="dxa"/>
            <w:gridSpan w:val="5"/>
            <w:noWrap/>
            <w:hideMark/>
          </w:tcPr>
          <w:p w:rsidR="001B5D9A" w:rsidRPr="007415EE" w:rsidRDefault="00A02C1A" w:rsidP="00B75E6C">
            <w:pPr>
              <w:jc w:val="center"/>
              <w:cnfStyle w:val="100000000000" w:firstRow="1" w:lastRow="0" w:firstColumn="0" w:lastColumn="0" w:oddVBand="0" w:evenVBand="0" w:oddHBand="0" w:evenHBand="0" w:firstRowFirstColumn="0" w:firstRowLastColumn="0" w:lastRowFirstColumn="0" w:lastRowLastColumn="0"/>
              <w:rPr>
                <w:rFonts w:eastAsia="Times New Roman"/>
                <w:b w:val="0"/>
                <w:sz w:val="18"/>
                <w:szCs w:val="18"/>
                <w:lang w:eastAsia="en-GB"/>
              </w:rPr>
            </w:pPr>
            <w:r>
              <w:rPr>
                <w:rFonts w:eastAsia="Times New Roman"/>
                <w:b w:val="0"/>
                <w:sz w:val="18"/>
                <w:szCs w:val="18"/>
                <w:lang w:eastAsia="en-GB"/>
              </w:rPr>
              <w:t>2008-20</w:t>
            </w:r>
            <w:r w:rsidR="001B5D9A" w:rsidRPr="007415EE">
              <w:rPr>
                <w:rFonts w:eastAsia="Times New Roman"/>
                <w:b w:val="0"/>
                <w:sz w:val="18"/>
                <w:szCs w:val="18"/>
                <w:lang w:eastAsia="en-GB"/>
              </w:rPr>
              <w:t>09</w:t>
            </w:r>
          </w:p>
        </w:tc>
        <w:tc>
          <w:tcPr>
            <w:tcW w:w="4960" w:type="dxa"/>
            <w:gridSpan w:val="5"/>
            <w:noWrap/>
            <w:hideMark/>
          </w:tcPr>
          <w:p w:rsidR="001B5D9A" w:rsidRPr="007415EE" w:rsidRDefault="001B5D9A" w:rsidP="00B75E6C">
            <w:pPr>
              <w:jc w:val="center"/>
              <w:cnfStyle w:val="100000000000" w:firstRow="1" w:lastRow="0" w:firstColumn="0" w:lastColumn="0" w:oddVBand="0" w:evenVBand="0" w:oddHBand="0" w:evenHBand="0" w:firstRowFirstColumn="0" w:firstRowLastColumn="0" w:lastRowFirstColumn="0" w:lastRowLastColumn="0"/>
              <w:rPr>
                <w:rFonts w:eastAsia="Times New Roman"/>
                <w:b w:val="0"/>
                <w:sz w:val="18"/>
                <w:szCs w:val="18"/>
                <w:lang w:eastAsia="en-GB"/>
              </w:rPr>
            </w:pPr>
            <w:r w:rsidRPr="007415EE">
              <w:rPr>
                <w:rFonts w:eastAsia="Times New Roman"/>
                <w:b w:val="0"/>
                <w:sz w:val="18"/>
                <w:szCs w:val="18"/>
                <w:lang w:eastAsia="en-GB"/>
              </w:rPr>
              <w:t>2013</w:t>
            </w:r>
          </w:p>
        </w:tc>
      </w:tr>
      <w:tr w:rsidR="001B5D9A" w:rsidRPr="00013803" w:rsidTr="00B75E6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1B5D9A" w:rsidRPr="007415EE" w:rsidRDefault="001B5D9A" w:rsidP="00B75E6C">
            <w:pPr>
              <w:jc w:val="center"/>
              <w:rPr>
                <w:rFonts w:eastAsia="Times New Roman"/>
                <w:color w:val="000000"/>
                <w:sz w:val="18"/>
                <w:szCs w:val="18"/>
                <w:lang w:eastAsia="en-GB"/>
              </w:rPr>
            </w:pPr>
          </w:p>
        </w:tc>
        <w:tc>
          <w:tcPr>
            <w:tcW w:w="1417" w:type="dxa"/>
            <w:vMerge w:val="restart"/>
            <w:vAlign w:val="center"/>
            <w:hideMark/>
          </w:tcPr>
          <w:p w:rsidR="001B5D9A" w:rsidRPr="007415EE"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Food ID</w:t>
            </w:r>
          </w:p>
        </w:tc>
        <w:tc>
          <w:tcPr>
            <w:tcW w:w="991" w:type="dxa"/>
            <w:vMerge w:val="restart"/>
            <w:vAlign w:val="center"/>
            <w:hideMark/>
          </w:tcPr>
          <w:p w:rsidR="001B5D9A" w:rsidRPr="007415EE"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No of samples</w:t>
            </w:r>
          </w:p>
        </w:tc>
        <w:tc>
          <w:tcPr>
            <w:tcW w:w="708" w:type="dxa"/>
            <w:hideMark/>
          </w:tcPr>
          <w:p w:rsidR="001B5D9A" w:rsidRPr="007415EE"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Min</w:t>
            </w:r>
          </w:p>
        </w:tc>
        <w:tc>
          <w:tcPr>
            <w:tcW w:w="992" w:type="dxa"/>
            <w:hideMark/>
          </w:tcPr>
          <w:p w:rsidR="001B5D9A" w:rsidRPr="007415EE"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Median</w:t>
            </w:r>
          </w:p>
        </w:tc>
        <w:tc>
          <w:tcPr>
            <w:tcW w:w="709" w:type="dxa"/>
            <w:hideMark/>
          </w:tcPr>
          <w:p w:rsidR="001B5D9A" w:rsidRPr="007415EE"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Max</w:t>
            </w:r>
          </w:p>
        </w:tc>
        <w:tc>
          <w:tcPr>
            <w:tcW w:w="1544" w:type="dxa"/>
            <w:vMerge w:val="restart"/>
            <w:noWrap/>
            <w:vAlign w:val="center"/>
            <w:hideMark/>
          </w:tcPr>
          <w:p w:rsidR="001B5D9A" w:rsidRPr="007415EE"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Food ID</w:t>
            </w:r>
          </w:p>
          <w:p w:rsidR="001B5D9A" w:rsidRPr="007415EE"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p>
        </w:tc>
        <w:tc>
          <w:tcPr>
            <w:tcW w:w="1000" w:type="dxa"/>
            <w:vMerge w:val="restart"/>
            <w:vAlign w:val="center"/>
            <w:hideMark/>
          </w:tcPr>
          <w:p w:rsidR="001B5D9A" w:rsidRPr="007415EE"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No of samples</w:t>
            </w:r>
          </w:p>
          <w:p w:rsidR="001B5D9A" w:rsidRPr="007415EE"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p>
        </w:tc>
        <w:tc>
          <w:tcPr>
            <w:tcW w:w="709" w:type="dxa"/>
            <w:hideMark/>
          </w:tcPr>
          <w:p w:rsidR="001B5D9A" w:rsidRPr="007415EE"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Min</w:t>
            </w:r>
          </w:p>
        </w:tc>
        <w:tc>
          <w:tcPr>
            <w:tcW w:w="993" w:type="dxa"/>
            <w:hideMark/>
          </w:tcPr>
          <w:p w:rsidR="001B5D9A" w:rsidRPr="007415EE"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Median</w:t>
            </w:r>
          </w:p>
        </w:tc>
        <w:tc>
          <w:tcPr>
            <w:tcW w:w="708" w:type="dxa"/>
            <w:hideMark/>
          </w:tcPr>
          <w:p w:rsidR="001B5D9A" w:rsidRPr="007415EE"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Max</w:t>
            </w:r>
          </w:p>
        </w:tc>
        <w:tc>
          <w:tcPr>
            <w:tcW w:w="1559" w:type="dxa"/>
            <w:vMerge w:val="restart"/>
            <w:noWrap/>
            <w:vAlign w:val="center"/>
            <w:hideMark/>
          </w:tcPr>
          <w:p w:rsidR="001B5D9A" w:rsidRPr="007415EE"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Food ID</w:t>
            </w:r>
          </w:p>
        </w:tc>
        <w:tc>
          <w:tcPr>
            <w:tcW w:w="992" w:type="dxa"/>
            <w:vMerge w:val="restart"/>
            <w:vAlign w:val="center"/>
            <w:hideMark/>
          </w:tcPr>
          <w:p w:rsidR="001B5D9A" w:rsidRPr="007415EE" w:rsidRDefault="001B5D9A" w:rsidP="00B75E6C">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No of samples</w:t>
            </w:r>
          </w:p>
        </w:tc>
        <w:tc>
          <w:tcPr>
            <w:tcW w:w="708" w:type="dxa"/>
            <w:hideMark/>
          </w:tcPr>
          <w:p w:rsidR="001B5D9A" w:rsidRPr="007415EE"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Min</w:t>
            </w:r>
          </w:p>
        </w:tc>
        <w:tc>
          <w:tcPr>
            <w:tcW w:w="992" w:type="dxa"/>
            <w:hideMark/>
          </w:tcPr>
          <w:p w:rsidR="001B5D9A" w:rsidRPr="007415EE"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Median</w:t>
            </w:r>
          </w:p>
        </w:tc>
        <w:tc>
          <w:tcPr>
            <w:tcW w:w="709" w:type="dxa"/>
            <w:hideMark/>
          </w:tcPr>
          <w:p w:rsidR="001B5D9A" w:rsidRPr="007415EE" w:rsidRDefault="001B5D9A" w:rsidP="00B75E6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GB"/>
              </w:rPr>
            </w:pPr>
            <w:r w:rsidRPr="007415EE">
              <w:rPr>
                <w:rFonts w:eastAsia="Times New Roman"/>
                <w:sz w:val="18"/>
                <w:szCs w:val="18"/>
                <w:lang w:eastAsia="en-GB"/>
              </w:rPr>
              <w:t>Max</w:t>
            </w:r>
          </w:p>
        </w:tc>
      </w:tr>
      <w:tr w:rsidR="001B5D9A" w:rsidRPr="00013803" w:rsidTr="00B75E6C">
        <w:trPr>
          <w:trHeight w:val="315"/>
        </w:trPr>
        <w:tc>
          <w:tcPr>
            <w:cnfStyle w:val="001000000000" w:firstRow="0" w:lastRow="0" w:firstColumn="1" w:lastColumn="0" w:oddVBand="0" w:evenVBand="0" w:oddHBand="0" w:evenHBand="0" w:firstRowFirstColumn="0" w:firstRowLastColumn="0" w:lastRowFirstColumn="0" w:lastRowLastColumn="0"/>
            <w:tcW w:w="1145" w:type="dxa"/>
            <w:vMerge/>
            <w:hideMark/>
          </w:tcPr>
          <w:p w:rsidR="001B5D9A" w:rsidRPr="007415EE" w:rsidRDefault="001B5D9A" w:rsidP="00B75E6C">
            <w:pPr>
              <w:jc w:val="center"/>
              <w:rPr>
                <w:rFonts w:eastAsia="Times New Roman"/>
                <w:color w:val="000000"/>
                <w:sz w:val="18"/>
                <w:szCs w:val="18"/>
                <w:lang w:eastAsia="en-GB"/>
              </w:rPr>
            </w:pPr>
          </w:p>
        </w:tc>
        <w:tc>
          <w:tcPr>
            <w:tcW w:w="1417" w:type="dxa"/>
            <w:vMerge/>
            <w:hideMark/>
          </w:tcPr>
          <w:p w:rsidR="001B5D9A" w:rsidRPr="007415EE"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991" w:type="dxa"/>
            <w:vMerge/>
            <w:hideMark/>
          </w:tcPr>
          <w:p w:rsidR="001B5D9A" w:rsidRPr="007415EE"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2409" w:type="dxa"/>
            <w:gridSpan w:val="3"/>
            <w:hideMark/>
          </w:tcPr>
          <w:p w:rsidR="001B5D9A" w:rsidRPr="007415EE" w:rsidRDefault="00864CC0"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Pr>
                <w:rFonts w:eastAsia="Times New Roman"/>
                <w:sz w:val="18"/>
                <w:szCs w:val="18"/>
                <w:lang w:eastAsia="en-GB"/>
              </w:rPr>
              <w:t>(g/100 g</w:t>
            </w:r>
            <w:r w:rsidR="001B5D9A" w:rsidRPr="007415EE">
              <w:rPr>
                <w:rFonts w:eastAsia="Times New Roman"/>
                <w:sz w:val="18"/>
                <w:szCs w:val="18"/>
                <w:lang w:eastAsia="en-GB"/>
              </w:rPr>
              <w:t>)</w:t>
            </w:r>
          </w:p>
        </w:tc>
        <w:tc>
          <w:tcPr>
            <w:tcW w:w="1544" w:type="dxa"/>
            <w:vMerge/>
            <w:noWrap/>
            <w:hideMark/>
          </w:tcPr>
          <w:p w:rsidR="001B5D9A" w:rsidRPr="007415EE"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1000" w:type="dxa"/>
            <w:vMerge/>
            <w:hideMark/>
          </w:tcPr>
          <w:p w:rsidR="001B5D9A" w:rsidRPr="007415EE"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2410" w:type="dxa"/>
            <w:gridSpan w:val="3"/>
          </w:tcPr>
          <w:p w:rsidR="001B5D9A" w:rsidRPr="007415EE" w:rsidRDefault="00864CC0"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Pr>
                <w:rFonts w:eastAsia="Times New Roman"/>
                <w:sz w:val="18"/>
                <w:szCs w:val="18"/>
                <w:lang w:eastAsia="en-GB"/>
              </w:rPr>
              <w:t>(g/100 g</w:t>
            </w:r>
            <w:r w:rsidR="001B5D9A" w:rsidRPr="007415EE">
              <w:rPr>
                <w:rFonts w:eastAsia="Times New Roman"/>
                <w:sz w:val="18"/>
                <w:szCs w:val="18"/>
                <w:lang w:eastAsia="en-GB"/>
              </w:rPr>
              <w:t>)</w:t>
            </w:r>
          </w:p>
        </w:tc>
        <w:tc>
          <w:tcPr>
            <w:tcW w:w="1559" w:type="dxa"/>
            <w:vMerge/>
            <w:hideMark/>
          </w:tcPr>
          <w:p w:rsidR="001B5D9A" w:rsidRPr="007415EE" w:rsidRDefault="001B5D9A" w:rsidP="00B75E6C">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992" w:type="dxa"/>
            <w:vMerge/>
            <w:hideMark/>
          </w:tcPr>
          <w:p w:rsidR="001B5D9A" w:rsidRPr="007415EE" w:rsidRDefault="001B5D9A"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p>
        </w:tc>
        <w:tc>
          <w:tcPr>
            <w:tcW w:w="2409" w:type="dxa"/>
            <w:gridSpan w:val="3"/>
          </w:tcPr>
          <w:p w:rsidR="001B5D9A" w:rsidRPr="007415EE" w:rsidRDefault="00864CC0" w:rsidP="00B75E6C">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Pr>
                <w:rFonts w:eastAsia="Times New Roman"/>
                <w:sz w:val="18"/>
                <w:szCs w:val="18"/>
                <w:lang w:eastAsia="en-GB"/>
              </w:rPr>
              <w:t>(g/100 g</w:t>
            </w:r>
            <w:r w:rsidR="001B5D9A" w:rsidRPr="007415EE">
              <w:rPr>
                <w:rFonts w:eastAsia="Times New Roman"/>
                <w:sz w:val="18"/>
                <w:szCs w:val="18"/>
                <w:lang w:eastAsia="en-GB"/>
              </w:rPr>
              <w:t>)</w:t>
            </w:r>
          </w:p>
        </w:tc>
      </w:tr>
      <w:tr w:rsidR="001B5D9A" w:rsidRPr="00013803" w:rsidTr="00A02D6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45" w:type="dxa"/>
            <w:vMerge w:val="restart"/>
            <w:hideMark/>
          </w:tcPr>
          <w:p w:rsidR="00A02D6E" w:rsidRPr="007415EE" w:rsidRDefault="001B5D9A" w:rsidP="00A02D6E">
            <w:pPr>
              <w:jc w:val="center"/>
              <w:rPr>
                <w:rFonts w:eastAsia="Times New Roman"/>
                <w:b w:val="0"/>
                <w:bCs w:val="0"/>
                <w:color w:val="000000"/>
                <w:sz w:val="18"/>
                <w:szCs w:val="18"/>
                <w:lang w:eastAsia="en-GB"/>
              </w:rPr>
            </w:pPr>
            <w:r>
              <w:rPr>
                <w:rFonts w:eastAsia="Times New Roman"/>
                <w:b w:val="0"/>
                <w:bCs w:val="0"/>
                <w:color w:val="000000"/>
                <w:sz w:val="18"/>
                <w:szCs w:val="18"/>
                <w:lang w:eastAsia="en-GB"/>
              </w:rPr>
              <w:t>Bakery Products cont.</w:t>
            </w:r>
          </w:p>
        </w:tc>
        <w:tc>
          <w:tcPr>
            <w:tcW w:w="1417"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Savoury Biscuits</w:t>
            </w:r>
          </w:p>
        </w:tc>
        <w:tc>
          <w:tcPr>
            <w:tcW w:w="991"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5</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0.2</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0.2</w:t>
            </w:r>
          </w:p>
        </w:tc>
        <w:tc>
          <w:tcPr>
            <w:tcW w:w="1544"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Savoury Biscuits</w:t>
            </w:r>
          </w:p>
        </w:tc>
        <w:tc>
          <w:tcPr>
            <w:tcW w:w="1000"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12</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3"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1.6</w:t>
            </w:r>
          </w:p>
        </w:tc>
        <w:tc>
          <w:tcPr>
            <w:tcW w:w="1559"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Savoury Biscuits- Standard</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13.00</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0.20</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0.75</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7415EE" w:rsidRDefault="00A02D6E" w:rsidP="00A02D6E">
            <w:pPr>
              <w:jc w:val="center"/>
              <w:rPr>
                <w:rFonts w:eastAsia="Times New Roman"/>
                <w:b w:val="0"/>
                <w:bCs w:val="0"/>
                <w:color w:val="000000"/>
                <w:sz w:val="18"/>
                <w:szCs w:val="18"/>
                <w:lang w:eastAsia="en-GB"/>
              </w:rPr>
            </w:pPr>
          </w:p>
        </w:tc>
        <w:tc>
          <w:tcPr>
            <w:tcW w:w="1417"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1"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44"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1000"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3"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59"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Scones *</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8.00</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0.10</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0.66</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7415EE" w:rsidRDefault="00A02D6E" w:rsidP="00A02D6E">
            <w:pPr>
              <w:jc w:val="center"/>
              <w:rPr>
                <w:rFonts w:eastAsia="Times New Roman"/>
                <w:b w:val="0"/>
                <w:bCs w:val="0"/>
                <w:color w:val="000000"/>
                <w:sz w:val="18"/>
                <w:szCs w:val="18"/>
                <w:lang w:eastAsia="en-GB"/>
              </w:rPr>
            </w:pPr>
          </w:p>
        </w:tc>
        <w:tc>
          <w:tcPr>
            <w:tcW w:w="1417"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Shelf Stable Cakes</w:t>
            </w:r>
          </w:p>
        </w:tc>
        <w:tc>
          <w:tcPr>
            <w:tcW w:w="991"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15</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0.3</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2.3</w:t>
            </w:r>
          </w:p>
        </w:tc>
        <w:tc>
          <w:tcPr>
            <w:tcW w:w="1544"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Shelf Stable Cakes</w:t>
            </w:r>
          </w:p>
        </w:tc>
        <w:tc>
          <w:tcPr>
            <w:tcW w:w="1000"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7</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3"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0.2</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0.6</w:t>
            </w:r>
          </w:p>
        </w:tc>
        <w:tc>
          <w:tcPr>
            <w:tcW w:w="1559"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Shelf Stable Cakes °</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8.00</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0.12</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0.58</w:t>
            </w:r>
          </w:p>
        </w:tc>
      </w:tr>
      <w:tr w:rsidR="00A02D6E" w:rsidRPr="00013803" w:rsidTr="00A02D6E">
        <w:trPr>
          <w:trHeight w:val="615"/>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7415EE" w:rsidRDefault="00A02D6E" w:rsidP="00A02D6E">
            <w:pPr>
              <w:jc w:val="center"/>
              <w:rPr>
                <w:rFonts w:eastAsia="Times New Roman"/>
                <w:b w:val="0"/>
                <w:bCs w:val="0"/>
                <w:color w:val="000000"/>
                <w:sz w:val="18"/>
                <w:szCs w:val="18"/>
                <w:lang w:eastAsia="en-GB"/>
              </w:rPr>
            </w:pPr>
          </w:p>
        </w:tc>
        <w:tc>
          <w:tcPr>
            <w:tcW w:w="1417"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1"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44"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Muffins</w:t>
            </w:r>
          </w:p>
        </w:tc>
        <w:tc>
          <w:tcPr>
            <w:tcW w:w="1000"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21</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3"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0.4</w:t>
            </w:r>
          </w:p>
        </w:tc>
        <w:tc>
          <w:tcPr>
            <w:tcW w:w="1559"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Sweet Muffins &amp; Banana Bread ›</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13.00</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0.05</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0.20</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1.09</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val="restart"/>
            <w:hideMark/>
          </w:tcPr>
          <w:p w:rsidR="00A02D6E" w:rsidRPr="007415EE" w:rsidRDefault="00A02D6E" w:rsidP="00A02D6E">
            <w:pPr>
              <w:rPr>
                <w:rFonts w:eastAsia="Times New Roman"/>
                <w:b w:val="0"/>
                <w:bCs w:val="0"/>
                <w:color w:val="000000"/>
                <w:sz w:val="18"/>
                <w:szCs w:val="18"/>
                <w:lang w:eastAsia="en-GB"/>
              </w:rPr>
            </w:pPr>
            <w:r w:rsidRPr="007415EE">
              <w:rPr>
                <w:rFonts w:eastAsia="Times New Roman"/>
                <w:b w:val="0"/>
                <w:bCs w:val="0"/>
                <w:color w:val="000000"/>
                <w:sz w:val="18"/>
                <w:szCs w:val="18"/>
                <w:lang w:eastAsia="en-GB"/>
              </w:rPr>
              <w:t>Others</w:t>
            </w:r>
          </w:p>
        </w:tc>
        <w:tc>
          <w:tcPr>
            <w:tcW w:w="1417"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Muesli Bars</w:t>
            </w:r>
          </w:p>
        </w:tc>
        <w:tc>
          <w:tcPr>
            <w:tcW w:w="991"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5</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1544"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Muesli Bars</w:t>
            </w:r>
          </w:p>
        </w:tc>
        <w:tc>
          <w:tcPr>
            <w:tcW w:w="1000"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9</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3"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0.2</w:t>
            </w:r>
          </w:p>
        </w:tc>
        <w:tc>
          <w:tcPr>
            <w:tcW w:w="1559"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Snack Bars ›</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15.00</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0.21</w:t>
            </w:r>
          </w:p>
        </w:tc>
      </w:tr>
      <w:tr w:rsidR="00A02D6E" w:rsidRPr="00013803" w:rsidTr="00A02D6E">
        <w:trPr>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7415EE" w:rsidRDefault="00A02D6E" w:rsidP="00A02D6E">
            <w:pPr>
              <w:jc w:val="center"/>
              <w:rPr>
                <w:rFonts w:eastAsia="Times New Roman"/>
                <w:b w:val="0"/>
                <w:bCs w:val="0"/>
                <w:color w:val="000000"/>
                <w:sz w:val="18"/>
                <w:szCs w:val="18"/>
                <w:lang w:eastAsia="en-GB"/>
              </w:rPr>
            </w:pPr>
          </w:p>
        </w:tc>
        <w:tc>
          <w:tcPr>
            <w:tcW w:w="1417"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1"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44"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Dry Instant Soup Mix^</w:t>
            </w:r>
          </w:p>
        </w:tc>
        <w:tc>
          <w:tcPr>
            <w:tcW w:w="1000"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5</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3"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w:t>
            </w:r>
          </w:p>
        </w:tc>
        <w:tc>
          <w:tcPr>
            <w:tcW w:w="1559"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7415EE" w:rsidRDefault="00A02D6E" w:rsidP="00A02D6E">
            <w:pPr>
              <w:jc w:val="center"/>
              <w:rPr>
                <w:rFonts w:eastAsia="Times New Roman"/>
                <w:b w:val="0"/>
                <w:bCs w:val="0"/>
                <w:color w:val="000000"/>
                <w:sz w:val="18"/>
                <w:szCs w:val="18"/>
                <w:lang w:eastAsia="en-GB"/>
              </w:rPr>
            </w:pPr>
          </w:p>
        </w:tc>
        <w:tc>
          <w:tcPr>
            <w:tcW w:w="1417"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1"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44"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Dry Mix Pasta</w:t>
            </w:r>
          </w:p>
        </w:tc>
        <w:tc>
          <w:tcPr>
            <w:tcW w:w="1000"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5</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w:t>
            </w:r>
          </w:p>
        </w:tc>
        <w:tc>
          <w:tcPr>
            <w:tcW w:w="993"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0.2</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0.5</w:t>
            </w:r>
          </w:p>
        </w:tc>
        <w:tc>
          <w:tcPr>
            <w:tcW w:w="1559"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Dry Mix Pasta</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8.00</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0.06</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0.21</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7415EE" w:rsidRDefault="00A02D6E" w:rsidP="00A02D6E">
            <w:pPr>
              <w:jc w:val="center"/>
              <w:rPr>
                <w:rFonts w:eastAsia="Times New Roman"/>
                <w:b w:val="0"/>
                <w:bCs w:val="0"/>
                <w:color w:val="000000"/>
                <w:sz w:val="18"/>
                <w:szCs w:val="18"/>
                <w:lang w:eastAsia="en-GB"/>
              </w:rPr>
            </w:pPr>
          </w:p>
        </w:tc>
        <w:tc>
          <w:tcPr>
            <w:tcW w:w="1417"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1"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44"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Gravy Mix^</w:t>
            </w:r>
          </w:p>
        </w:tc>
        <w:tc>
          <w:tcPr>
            <w:tcW w:w="1000"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7</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3"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w:t>
            </w:r>
          </w:p>
        </w:tc>
        <w:tc>
          <w:tcPr>
            <w:tcW w:w="1559"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7415EE" w:rsidRDefault="00A02D6E" w:rsidP="00A02D6E">
            <w:pPr>
              <w:jc w:val="center"/>
              <w:rPr>
                <w:rFonts w:eastAsia="Times New Roman"/>
                <w:b w:val="0"/>
                <w:bCs w:val="0"/>
                <w:color w:val="000000"/>
                <w:sz w:val="18"/>
                <w:szCs w:val="18"/>
                <w:lang w:eastAsia="en-GB"/>
              </w:rPr>
            </w:pPr>
          </w:p>
        </w:tc>
        <w:tc>
          <w:tcPr>
            <w:tcW w:w="1417"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1"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44"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Nut Based Spreads</w:t>
            </w:r>
          </w:p>
        </w:tc>
        <w:tc>
          <w:tcPr>
            <w:tcW w:w="1000"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5</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3"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w:t>
            </w:r>
          </w:p>
        </w:tc>
        <w:tc>
          <w:tcPr>
            <w:tcW w:w="1559"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Nut Based Spreads</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13.00</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0.13</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0.30</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7415EE" w:rsidRDefault="00A02D6E" w:rsidP="00A02D6E">
            <w:pPr>
              <w:jc w:val="center"/>
              <w:rPr>
                <w:rFonts w:eastAsia="Times New Roman"/>
                <w:b w:val="0"/>
                <w:bCs w:val="0"/>
                <w:color w:val="000000"/>
                <w:sz w:val="18"/>
                <w:szCs w:val="18"/>
                <w:lang w:eastAsia="en-GB"/>
              </w:rPr>
            </w:pPr>
          </w:p>
        </w:tc>
        <w:tc>
          <w:tcPr>
            <w:tcW w:w="1417"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1"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44"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Sauces</w:t>
            </w:r>
          </w:p>
        </w:tc>
        <w:tc>
          <w:tcPr>
            <w:tcW w:w="1000"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6</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3"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w:t>
            </w:r>
          </w:p>
        </w:tc>
        <w:tc>
          <w:tcPr>
            <w:tcW w:w="1559"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Sauces</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8.00</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0.02</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0.39</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7415EE" w:rsidRDefault="00A02D6E" w:rsidP="00A02D6E">
            <w:pPr>
              <w:jc w:val="center"/>
              <w:rPr>
                <w:rFonts w:eastAsia="Times New Roman"/>
                <w:b w:val="0"/>
                <w:bCs w:val="0"/>
                <w:color w:val="000000"/>
                <w:sz w:val="18"/>
                <w:szCs w:val="18"/>
                <w:lang w:eastAsia="en-GB"/>
              </w:rPr>
            </w:pPr>
          </w:p>
        </w:tc>
        <w:tc>
          <w:tcPr>
            <w:tcW w:w="1417"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1"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44"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Toasted Style Muesli Cereal</w:t>
            </w:r>
          </w:p>
        </w:tc>
        <w:tc>
          <w:tcPr>
            <w:tcW w:w="1000"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5</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3"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w:t>
            </w:r>
          </w:p>
        </w:tc>
        <w:tc>
          <w:tcPr>
            <w:tcW w:w="1559"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Toasted Style Muesli Cereal</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11.00</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0.05</w:t>
            </w:r>
          </w:p>
        </w:tc>
      </w:tr>
      <w:tr w:rsidR="00A02D6E" w:rsidRPr="00013803" w:rsidTr="00A02D6E">
        <w:trPr>
          <w:trHeight w:val="300"/>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7415EE" w:rsidRDefault="00A02D6E" w:rsidP="00A02D6E">
            <w:pPr>
              <w:jc w:val="center"/>
              <w:rPr>
                <w:rFonts w:eastAsia="Times New Roman"/>
                <w:b w:val="0"/>
                <w:bCs w:val="0"/>
                <w:color w:val="000000"/>
                <w:sz w:val="18"/>
                <w:szCs w:val="18"/>
                <w:lang w:eastAsia="en-GB"/>
              </w:rPr>
            </w:pPr>
          </w:p>
        </w:tc>
        <w:tc>
          <w:tcPr>
            <w:tcW w:w="1417"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1"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44" w:type="dxa"/>
            <w:hideMark/>
          </w:tcPr>
          <w:p w:rsidR="00A02D6E" w:rsidRPr="007415EE" w:rsidRDefault="00A02D6E"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1000"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3"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59" w:type="dxa"/>
            <w:hideMark/>
          </w:tcPr>
          <w:p w:rsidR="00A02D6E" w:rsidRPr="007415EE" w:rsidRDefault="00A10C20" w:rsidP="00A02D6E">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Pr>
                <w:rFonts w:eastAsia="Times New Roman"/>
                <w:color w:val="000000"/>
                <w:sz w:val="18"/>
                <w:szCs w:val="18"/>
                <w:lang w:eastAsia="en-GB"/>
              </w:rPr>
              <w:t>Confectionery</w:t>
            </w:r>
            <w:r w:rsidR="00A02D6E"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13.00</w:t>
            </w:r>
          </w:p>
        </w:tc>
        <w:tc>
          <w:tcPr>
            <w:tcW w:w="708"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&lt;0.1</w:t>
            </w:r>
          </w:p>
        </w:tc>
        <w:tc>
          <w:tcPr>
            <w:tcW w:w="992"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0.12</w:t>
            </w:r>
          </w:p>
        </w:tc>
        <w:tc>
          <w:tcPr>
            <w:tcW w:w="709" w:type="dxa"/>
            <w:hideMark/>
          </w:tcPr>
          <w:p w:rsidR="00A02D6E" w:rsidRPr="007415EE" w:rsidRDefault="00A02D6E" w:rsidP="00A02D6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0.49</w:t>
            </w:r>
          </w:p>
        </w:tc>
      </w:tr>
      <w:tr w:rsidR="00A02D6E" w:rsidRPr="00013803" w:rsidTr="00A02D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dxa"/>
            <w:vMerge/>
            <w:hideMark/>
          </w:tcPr>
          <w:p w:rsidR="00A02D6E" w:rsidRPr="007415EE" w:rsidRDefault="00A02D6E" w:rsidP="00A02D6E">
            <w:pPr>
              <w:jc w:val="center"/>
              <w:rPr>
                <w:rFonts w:eastAsia="Times New Roman"/>
                <w:b w:val="0"/>
                <w:bCs w:val="0"/>
                <w:color w:val="000000"/>
                <w:sz w:val="18"/>
                <w:szCs w:val="18"/>
                <w:lang w:eastAsia="en-GB"/>
              </w:rPr>
            </w:pPr>
          </w:p>
        </w:tc>
        <w:tc>
          <w:tcPr>
            <w:tcW w:w="1417"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991"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44"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N/A</w:t>
            </w:r>
          </w:p>
        </w:tc>
        <w:tc>
          <w:tcPr>
            <w:tcW w:w="1000"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993"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w:t>
            </w:r>
          </w:p>
        </w:tc>
        <w:tc>
          <w:tcPr>
            <w:tcW w:w="1559" w:type="dxa"/>
            <w:hideMark/>
          </w:tcPr>
          <w:p w:rsidR="00A02D6E" w:rsidRPr="007415EE" w:rsidRDefault="00A02D6E" w:rsidP="00A02D6E">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Dips *</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8.00</w:t>
            </w:r>
          </w:p>
        </w:tc>
        <w:tc>
          <w:tcPr>
            <w:tcW w:w="708"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0.08</w:t>
            </w:r>
          </w:p>
        </w:tc>
        <w:tc>
          <w:tcPr>
            <w:tcW w:w="992"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0.21</w:t>
            </w:r>
          </w:p>
        </w:tc>
        <w:tc>
          <w:tcPr>
            <w:tcW w:w="709" w:type="dxa"/>
            <w:hideMark/>
          </w:tcPr>
          <w:p w:rsidR="00A02D6E" w:rsidRPr="007415EE" w:rsidRDefault="00A02D6E" w:rsidP="00A02D6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GB"/>
              </w:rPr>
            </w:pPr>
            <w:r w:rsidRPr="007415EE">
              <w:rPr>
                <w:rFonts w:eastAsia="Times New Roman"/>
                <w:color w:val="000000"/>
                <w:sz w:val="18"/>
                <w:szCs w:val="18"/>
                <w:lang w:eastAsia="en-GB"/>
              </w:rPr>
              <w:t>0.81</w:t>
            </w:r>
          </w:p>
        </w:tc>
      </w:tr>
    </w:tbl>
    <w:p w:rsidR="000B6DF7" w:rsidRPr="00ED5079" w:rsidRDefault="000B6DF7" w:rsidP="000B6DF7">
      <w:pPr>
        <w:pStyle w:val="Footer"/>
        <w:rPr>
          <w:sz w:val="18"/>
        </w:rPr>
      </w:pPr>
      <w:r w:rsidRPr="00ED5079">
        <w:rPr>
          <w:sz w:val="18"/>
        </w:rPr>
        <w:t xml:space="preserve">N/A= not applicable. This </w:t>
      </w:r>
      <w:r>
        <w:rPr>
          <w:sz w:val="18"/>
        </w:rPr>
        <w:t>product category</w:t>
      </w:r>
      <w:r w:rsidRPr="00ED5079">
        <w:rPr>
          <w:sz w:val="18"/>
        </w:rPr>
        <w:t xml:space="preserve"> was not analysed in this survey.</w:t>
      </w:r>
    </w:p>
    <w:p w:rsidR="000B6DF7" w:rsidRPr="00ED5079" w:rsidRDefault="000B6DF7" w:rsidP="000B6DF7">
      <w:pPr>
        <w:pStyle w:val="Footer"/>
        <w:rPr>
          <w:sz w:val="18"/>
        </w:rPr>
      </w:pPr>
      <w:r w:rsidRPr="00ED5079">
        <w:rPr>
          <w:sz w:val="18"/>
        </w:rPr>
        <w:t>* New food product.</w:t>
      </w:r>
    </w:p>
    <w:p w:rsidR="000B6DF7" w:rsidRPr="00ED5079" w:rsidRDefault="000B6DF7" w:rsidP="000B6DF7">
      <w:pPr>
        <w:pStyle w:val="Footer"/>
        <w:rPr>
          <w:sz w:val="18"/>
        </w:rPr>
      </w:pPr>
      <w:r w:rsidRPr="00ED5079">
        <w:rPr>
          <w:sz w:val="18"/>
        </w:rPr>
        <w:t>^ Product removed from 2013 survey sampling.</w:t>
      </w:r>
    </w:p>
    <w:p w:rsidR="000B6DF7" w:rsidRPr="00ED5079" w:rsidRDefault="000B6DF7" w:rsidP="000B6DF7">
      <w:pPr>
        <w:pStyle w:val="Footer"/>
        <w:rPr>
          <w:sz w:val="18"/>
        </w:rPr>
      </w:pPr>
      <w:r w:rsidRPr="00ED5079">
        <w:rPr>
          <w:sz w:val="18"/>
        </w:rPr>
        <w:t xml:space="preserve">+ Chocolate Chip and Chocolate Coated &amp; Chocolate Filled Biscuit </w:t>
      </w:r>
      <w:r>
        <w:rPr>
          <w:sz w:val="18"/>
        </w:rPr>
        <w:t>product categories</w:t>
      </w:r>
      <w:r w:rsidRPr="00ED5079">
        <w:rPr>
          <w:sz w:val="18"/>
        </w:rPr>
        <w:t xml:space="preserve"> combined to compare against 2005-07 and 2008/09 data.</w:t>
      </w:r>
    </w:p>
    <w:p w:rsidR="000B6DF7" w:rsidRPr="00ED5079" w:rsidRDefault="000B6DF7" w:rsidP="000B6DF7">
      <w:pPr>
        <w:pStyle w:val="Footer"/>
        <w:rPr>
          <w:sz w:val="18"/>
        </w:rPr>
      </w:pPr>
      <w:r w:rsidRPr="00ED5079">
        <w:rPr>
          <w:rFonts w:cs="Arial"/>
          <w:sz w:val="18"/>
        </w:rPr>
        <w:t>°</w:t>
      </w:r>
      <w:r w:rsidRPr="00ED5079">
        <w:rPr>
          <w:sz w:val="18"/>
        </w:rPr>
        <w:t xml:space="preserve"> Shelf Stable Cakes with and without cream fillings combined to compare against 2005-07 and 2008/09 data.</w:t>
      </w:r>
    </w:p>
    <w:p w:rsidR="000B6DF7" w:rsidRPr="00ED5079" w:rsidRDefault="000B6DF7" w:rsidP="000B6DF7">
      <w:pPr>
        <w:pStyle w:val="Footer"/>
        <w:rPr>
          <w:sz w:val="18"/>
        </w:rPr>
      </w:pPr>
      <w:r w:rsidRPr="00ED5079">
        <w:rPr>
          <w:rFonts w:cs="Arial"/>
          <w:sz w:val="18"/>
        </w:rPr>
        <w:t>›</w:t>
      </w:r>
      <w:r w:rsidRPr="00ED5079">
        <w:rPr>
          <w:sz w:val="18"/>
        </w:rPr>
        <w:t xml:space="preserve"> </w:t>
      </w:r>
      <w:r>
        <w:rPr>
          <w:sz w:val="18"/>
        </w:rPr>
        <w:t>Product category</w:t>
      </w:r>
      <w:r w:rsidRPr="00ED5079">
        <w:rPr>
          <w:sz w:val="18"/>
        </w:rPr>
        <w:t xml:space="preserve"> modified slightly to include a greater proportion of the products available on the market today. </w:t>
      </w:r>
    </w:p>
    <w:p w:rsidR="000B6DF7" w:rsidRDefault="000B6DF7" w:rsidP="000B6DF7">
      <w:pPr>
        <w:pStyle w:val="Footer"/>
        <w:sectPr w:rsidR="000B6DF7" w:rsidSect="000B6DF7">
          <w:footerReference w:type="default" r:id="rId43"/>
          <w:pgSz w:w="16838" w:h="11906" w:orient="landscape"/>
          <w:pgMar w:top="1440" w:right="1440" w:bottom="1440" w:left="1440" w:header="709" w:footer="709" w:gutter="0"/>
          <w:cols w:space="708"/>
          <w:docGrid w:linePitch="360"/>
        </w:sectPr>
      </w:pPr>
    </w:p>
    <w:p w:rsidR="000B6DF7" w:rsidRPr="00D235F9" w:rsidRDefault="006617A3" w:rsidP="000B6DF7">
      <w:pPr>
        <w:pStyle w:val="Heading1"/>
        <w:ind w:left="0" w:firstLine="0"/>
        <w:rPr>
          <w:b w:val="0"/>
        </w:rPr>
      </w:pPr>
      <w:bookmarkStart w:id="56" w:name="_Toc387832043"/>
      <w:bookmarkStart w:id="57" w:name="_Toc389652023"/>
      <w:r>
        <w:lastRenderedPageBreak/>
        <w:t xml:space="preserve">Appendix 5 </w:t>
      </w:r>
      <w:r w:rsidR="000B6DF7" w:rsidRPr="00D235F9">
        <w:rPr>
          <w:b w:val="0"/>
          <w:lang w:eastAsia="en-AU"/>
        </w:rPr>
        <w:t>Comparison of TFA concentrations in Australian and New Zealand foods with other published food surveys</w:t>
      </w:r>
      <w:bookmarkEnd w:id="56"/>
      <w:bookmarkEnd w:id="57"/>
    </w:p>
    <w:p w:rsidR="000B6DF7" w:rsidRDefault="000B6DF7" w:rsidP="000B6DF7">
      <w:r>
        <w:t xml:space="preserve">A comparison of the TFA concentrations in the 2013 survey with other surveys conducted in the United Kingdom (UK), Ireland, Canada and Australia in 2008 or 2009 is shown </w:t>
      </w:r>
      <w:r w:rsidRPr="00760851">
        <w:t>in Table 4. In</w:t>
      </w:r>
      <w:r>
        <w:t xml:space="preserve"> general, the range of TFA concentrations observed in the studies is generally comparable to the current survey. In interpreting the data, it should be noted that there are significant differences in survey designs and analytical methodologies. A brief summary of each of the surveys is included below. </w:t>
      </w:r>
    </w:p>
    <w:p w:rsidR="000B6DF7" w:rsidRDefault="000B6DF7" w:rsidP="000B6DF7"/>
    <w:p w:rsidR="000B6DF7" w:rsidRDefault="000B6DF7" w:rsidP="000B6DF7">
      <w:r>
        <w:t>In the UK, the Department of Health undertook an analysis of a number of composite samples, comprised of a number of different brands, as part of its rolling programme o</w:t>
      </w:r>
      <w:r w:rsidR="00330AF6">
        <w:t xml:space="preserve">f nutrient analysis surveys (UK Department of Health 2013). </w:t>
      </w:r>
      <w:r>
        <w:t xml:space="preserve">Samples were collected and prepared for analysis between 2010 and 2012. </w:t>
      </w:r>
      <w:r>
        <w:rPr>
          <w:color w:val="000000"/>
          <w:sz w:val="23"/>
          <w:szCs w:val="23"/>
        </w:rPr>
        <w:t>Sixty-five composite samples were prepared for analysis with each</w:t>
      </w:r>
      <w:r>
        <w:t xml:space="preserve"> composite sample made up of between five and 16 sub-samples. Lipid fractions were solvent extracted, and the isolated fat was trans-esterified to form FAMES. The FAME profile was determined using GC with reference to calibration standards. </w:t>
      </w:r>
    </w:p>
    <w:p w:rsidR="000B6DF7" w:rsidRDefault="000B6DF7" w:rsidP="000B6DF7"/>
    <w:p w:rsidR="000B6DF7" w:rsidRDefault="000B6DF7" w:rsidP="000B6DF7">
      <w:r>
        <w:t>In 2008, the Food Safety Authority of Ireland undertook a study to analyse the fat profiles of fast-foods sold in Ireland. A total of 150 samples were collected from restaurants and analysed It analysed 150 samples of fast food. Of the 150 products analysed, the survey found 77% (115) samples to have TFA levels less than or equal to 2% in the food.</w:t>
      </w:r>
      <w:r w:rsidRPr="00502B3B">
        <w:t xml:space="preserve"> </w:t>
      </w:r>
      <w:r>
        <w:t>Each of the analyses for fatty acid profiles was conducted using gas chromatographic se</w:t>
      </w:r>
      <w:r w:rsidR="00330AF6">
        <w:t>paration of methyl esters (FSAI</w:t>
      </w:r>
      <w:r>
        <w:t xml:space="preserve"> 2008). </w:t>
      </w:r>
    </w:p>
    <w:p w:rsidR="000B6DF7" w:rsidRDefault="000B6DF7" w:rsidP="000B6DF7"/>
    <w:p w:rsidR="000B6DF7" w:rsidRDefault="000B6DF7" w:rsidP="000B6DF7">
      <w:r w:rsidRPr="00644FD7">
        <w:t xml:space="preserve">Health Canada, as part of their </w:t>
      </w:r>
      <w:r w:rsidRPr="00644FD7">
        <w:rPr>
          <w:i/>
        </w:rPr>
        <w:t>Trans</w:t>
      </w:r>
      <w:r w:rsidRPr="00644FD7">
        <w:t xml:space="preserve"> Fat Monitoring Program, have analysed a wide variety of foods for total fat, TFA</w:t>
      </w:r>
      <w:r w:rsidR="00330AF6">
        <w:t>s</w:t>
      </w:r>
      <w:r w:rsidRPr="00644FD7">
        <w:t>, and SFA</w:t>
      </w:r>
      <w:r w:rsidR="00330AF6">
        <w:t>s</w:t>
      </w:r>
      <w:r w:rsidRPr="00644FD7">
        <w:t xml:space="preserve"> (available at: </w:t>
      </w:r>
      <w:hyperlink r:id="rId44" w:history="1">
        <w:r w:rsidRPr="00644FD7">
          <w:rPr>
            <w:rStyle w:val="Hyperlink"/>
          </w:rPr>
          <w:t>http://www.hc-sc.gc.ca/fn-an/nutrition/gras-trans-fats/tfa-age_four-data_quatr-donn-eng.php</w:t>
        </w:r>
      </w:hyperlink>
      <w:r w:rsidRPr="00644FD7">
        <w:t>. Results</w:t>
      </w:r>
      <w:r>
        <w:t xml:space="preserve"> from the fourth set of data, carried out in 2009, indicated that many food manufacturers had</w:t>
      </w:r>
      <w:r w:rsidRPr="00C85A32">
        <w:t xml:space="preserve"> reduced the </w:t>
      </w:r>
      <w:r>
        <w:t>TFA</w:t>
      </w:r>
      <w:r w:rsidRPr="00C85A32">
        <w:t xml:space="preserve"> content of their products to meet the 5% </w:t>
      </w:r>
      <w:r>
        <w:t>TFA</w:t>
      </w:r>
      <w:r w:rsidRPr="00C85A32">
        <w:t xml:space="preserve"> of total fat content </w:t>
      </w:r>
      <w:r w:rsidR="00330AF6">
        <w:t xml:space="preserve">voluntary </w:t>
      </w:r>
      <w:r w:rsidRPr="00C85A32">
        <w:t>limit</w:t>
      </w:r>
      <w:r>
        <w:t xml:space="preserve"> applicable in Canada. TFA analyses were conducted using the AOAC Official Method 996.06 which</w:t>
      </w:r>
      <w:r w:rsidRPr="00031ED1">
        <w:t xml:space="preserve"> is used to determine the total fat and fatty acids in a wide variety of foods that require nutrition labelling in Canada and the United States</w:t>
      </w:r>
      <w:r>
        <w:t xml:space="preserve">. </w:t>
      </w:r>
    </w:p>
    <w:p w:rsidR="000B6DF7" w:rsidRDefault="000B6DF7" w:rsidP="000B6DF7"/>
    <w:p w:rsidR="000B6DF7" w:rsidRDefault="001B5D9A" w:rsidP="000B6DF7">
      <w:r>
        <w:t>McCarthy et al.</w:t>
      </w:r>
      <w:r w:rsidR="000B6DF7">
        <w:t xml:space="preserve"> (2008) conducted a small scale survey to analyse the TFA concentrations in selected processed foods in Australia using Fourier </w:t>
      </w:r>
      <w:r w:rsidR="000B6DF7" w:rsidRPr="00DA53F1">
        <w:rPr>
          <w:i/>
        </w:rPr>
        <w:t>Trans</w:t>
      </w:r>
      <w:r w:rsidR="000B6DF7">
        <w:t>form infrared spectroscopy with attenuated total reflection (ATR-FTIR). Foods included bakery products, fast food, frozen food, packaged snacks and fats and oils, where vegetable oil was a listed ingredient and the fat content of the food exceede</w:t>
      </w:r>
      <w:r w:rsidR="00BA2139">
        <w:t>d 5%. The mean concentration (g/</w:t>
      </w:r>
      <w:r w:rsidR="000B6DF7">
        <w:t>100 g food) of TFA</w:t>
      </w:r>
      <w:r w:rsidR="00BA2139">
        <w:t>s</w:t>
      </w:r>
      <w:r w:rsidR="000B6DF7">
        <w:t xml:space="preserve"> in foods</w:t>
      </w:r>
      <w:r w:rsidR="00BA2139">
        <w:t xml:space="preserve"> ranged from 0.1 g/</w:t>
      </w:r>
      <w:r w:rsidR="000B6DF7">
        <w:t>100 g</w:t>
      </w:r>
      <w:r w:rsidR="00BA2139">
        <w:t xml:space="preserve"> food for fish fingers to 7.5 g/</w:t>
      </w:r>
      <w:r w:rsidR="000B6DF7">
        <w:t xml:space="preserve">100 g food for a sample of margarine. The different analytical methodology and slight differences in product categories sampled may have contributed to differences in TFA concentrations between this study and the current results. </w:t>
      </w:r>
    </w:p>
    <w:p w:rsidR="000B6DF7" w:rsidRDefault="000B6DF7" w:rsidP="000B6DF7">
      <w:pPr>
        <w:autoSpaceDE w:val="0"/>
        <w:autoSpaceDN w:val="0"/>
        <w:adjustRightInd w:val="0"/>
        <w:rPr>
          <w:rFonts w:cs="Arial"/>
        </w:rPr>
      </w:pPr>
    </w:p>
    <w:p w:rsidR="000B6DF7" w:rsidRPr="00CE27E9" w:rsidRDefault="001B5D9A" w:rsidP="000B6DF7">
      <w:pPr>
        <w:autoSpaceDE w:val="0"/>
        <w:autoSpaceDN w:val="0"/>
        <w:adjustRightInd w:val="0"/>
        <w:rPr>
          <w:rFonts w:cs="Arial"/>
        </w:rPr>
        <w:sectPr w:rsidR="000B6DF7" w:rsidRPr="00CE27E9" w:rsidSect="000B6DF7">
          <w:footerReference w:type="default" r:id="rId45"/>
          <w:pgSz w:w="11906" w:h="16838"/>
          <w:pgMar w:top="1440" w:right="1440" w:bottom="1440" w:left="1440" w:header="709" w:footer="709" w:gutter="0"/>
          <w:cols w:space="708"/>
          <w:docGrid w:linePitch="360"/>
        </w:sectPr>
      </w:pPr>
      <w:r>
        <w:rPr>
          <w:rFonts w:cs="Arial"/>
        </w:rPr>
        <w:t>Stender et al.</w:t>
      </w:r>
      <w:r w:rsidR="000B6DF7">
        <w:rPr>
          <w:rFonts w:cs="Arial"/>
        </w:rPr>
        <w:t xml:space="preserve"> (2012) </w:t>
      </w:r>
      <w:r w:rsidR="000B6DF7" w:rsidRPr="0036165C">
        <w:rPr>
          <w:rFonts w:cs="Arial"/>
        </w:rPr>
        <w:t>compared the concentration</w:t>
      </w:r>
      <w:r w:rsidR="000B6DF7">
        <w:rPr>
          <w:rFonts w:cs="Arial"/>
        </w:rPr>
        <w:t>s</w:t>
      </w:r>
      <w:r w:rsidR="000B6DF7" w:rsidRPr="0036165C">
        <w:rPr>
          <w:rFonts w:cs="Arial"/>
        </w:rPr>
        <w:t xml:space="preserve"> of manufactured TFA</w:t>
      </w:r>
      <w:r w:rsidR="00BA2139">
        <w:rPr>
          <w:rFonts w:cs="Arial"/>
        </w:rPr>
        <w:t>s</w:t>
      </w:r>
      <w:r w:rsidR="000B6DF7" w:rsidRPr="0036165C">
        <w:rPr>
          <w:rFonts w:cs="Arial"/>
        </w:rPr>
        <w:t xml:space="preserve"> in six European Union countries using a standardised purchase methodology in 2005, and again in 2009. Seventy servings of French fries and chicken nuggets, 90 packages of microwave popcorn, and 442 samples of biscuits/cakes/wafers with ‘partially hydrogenated vegetable fat’ on the list of ingredients were analysed. Serving sizes were 171 g of French fries and 160 g of chicken nuggets. </w:t>
      </w:r>
      <w:r w:rsidR="000B6DF7">
        <w:rPr>
          <w:rFonts w:cs="Arial"/>
        </w:rPr>
        <w:t>In general, the results appeared to indicate that t</w:t>
      </w:r>
      <w:r w:rsidR="000B6DF7" w:rsidRPr="0036165C">
        <w:rPr>
          <w:rFonts w:cs="Arial"/>
        </w:rPr>
        <w:t xml:space="preserve">he highest </w:t>
      </w:r>
      <w:r w:rsidR="000B6DF7">
        <w:rPr>
          <w:rFonts w:cs="Arial"/>
        </w:rPr>
        <w:t xml:space="preserve">manufactured </w:t>
      </w:r>
      <w:r w:rsidR="000B6DF7" w:rsidRPr="0036165C">
        <w:rPr>
          <w:rFonts w:cs="Arial"/>
        </w:rPr>
        <w:lastRenderedPageBreak/>
        <w:t>TFA con</w:t>
      </w:r>
      <w:r w:rsidR="000B6DF7">
        <w:rPr>
          <w:rFonts w:cs="Arial"/>
        </w:rPr>
        <w:t>centrations</w:t>
      </w:r>
      <w:r w:rsidR="000B6DF7" w:rsidRPr="0036165C">
        <w:rPr>
          <w:rFonts w:cs="Arial"/>
        </w:rPr>
        <w:t xml:space="preserve"> (10–15 g) in </w:t>
      </w:r>
      <w:r w:rsidR="000B6DF7">
        <w:rPr>
          <w:rFonts w:cs="Arial"/>
        </w:rPr>
        <w:t>biscuits, cakes and wafers</w:t>
      </w:r>
      <w:r w:rsidR="000B6DF7" w:rsidRPr="0036165C">
        <w:rPr>
          <w:rFonts w:cs="Arial"/>
        </w:rPr>
        <w:t xml:space="preserve"> in 2005 were found in Hungary, Poland and the Czech Republic. In France, Germany and </w:t>
      </w:r>
      <w:r w:rsidR="000B6DF7">
        <w:rPr>
          <w:rFonts w:cs="Arial"/>
        </w:rPr>
        <w:t xml:space="preserve">the UK, the </w:t>
      </w:r>
      <w:r w:rsidR="000B6DF7" w:rsidRPr="0036165C">
        <w:rPr>
          <w:rFonts w:cs="Arial"/>
        </w:rPr>
        <w:t xml:space="preserve">TFA contents were </w:t>
      </w:r>
      <w:r w:rsidR="000B6DF7">
        <w:rPr>
          <w:rFonts w:cs="Arial"/>
        </w:rPr>
        <w:t>lower but were above</w:t>
      </w:r>
      <w:r w:rsidR="000B6DF7" w:rsidRPr="0036165C">
        <w:rPr>
          <w:rFonts w:cs="Arial"/>
        </w:rPr>
        <w:t xml:space="preserve"> 2 g in 100 g product</w:t>
      </w:r>
      <w:r w:rsidR="000B6DF7">
        <w:rPr>
          <w:rFonts w:cs="Arial"/>
        </w:rPr>
        <w:t xml:space="preserve"> in many cases</w:t>
      </w:r>
      <w:r w:rsidR="000B6DF7" w:rsidRPr="0036165C">
        <w:rPr>
          <w:rFonts w:cs="Arial"/>
        </w:rPr>
        <w:t xml:space="preserve">. In 2009, biscuits, cakes and wafers in the three Eastern EU countries contained a smaller, but still substantial, </w:t>
      </w:r>
      <w:r w:rsidR="000B6DF7">
        <w:rPr>
          <w:rFonts w:cs="Arial"/>
        </w:rPr>
        <w:t xml:space="preserve">amount of manufactured TFA. In contrast, the manufactured </w:t>
      </w:r>
      <w:r w:rsidR="000B6DF7" w:rsidRPr="0036165C">
        <w:rPr>
          <w:rFonts w:cs="Arial"/>
        </w:rPr>
        <w:t>TFA content in products in the three Western EU countries was minimal (&lt;1 g).</w:t>
      </w:r>
      <w:r w:rsidR="000B6DF7">
        <w:rPr>
          <w:rFonts w:cs="Arial"/>
        </w:rPr>
        <w:t xml:space="preserve"> </w:t>
      </w:r>
      <w:r w:rsidR="000B6DF7">
        <w:t xml:space="preserve">Substantial decreases in maximum TFA content were also observed in France, Germany and the UK for fast food. Unfortunately, information on mean, median and the range of analytical results were generally not presented, limiting the utility of this study for comparative purposes. On that basis, the data have not been included in Table 4. </w:t>
      </w:r>
    </w:p>
    <w:p w:rsidR="000B6DF7" w:rsidRPr="009466FA" w:rsidRDefault="000B6DF7" w:rsidP="000B6DF7">
      <w:r>
        <w:rPr>
          <w:b/>
        </w:rPr>
        <w:lastRenderedPageBreak/>
        <w:t>Table A5.1</w:t>
      </w:r>
      <w:r w:rsidR="007415EE">
        <w:rPr>
          <w:b/>
        </w:rPr>
        <w:tab/>
      </w:r>
      <w:r w:rsidR="007415EE">
        <w:rPr>
          <w:b/>
        </w:rPr>
        <w:tab/>
      </w:r>
      <w:r w:rsidRPr="009466FA">
        <w:t>Comparison of the range of reported TFA concentrations in Australian and New Zealand foods in the current survey with TFA levels found in other</w:t>
      </w:r>
      <w:r>
        <w:t xml:space="preserve"> recent published</w:t>
      </w:r>
      <w:r w:rsidRPr="009466FA">
        <w:t xml:space="preserve"> domestic and international surveys</w:t>
      </w:r>
    </w:p>
    <w:p w:rsidR="000B6DF7" w:rsidRDefault="000B6DF7" w:rsidP="000B6DF7">
      <w:pPr>
        <w:rPr>
          <w:i/>
        </w:rPr>
      </w:pPr>
    </w:p>
    <w:tbl>
      <w:tblPr>
        <w:tblStyle w:val="LightList"/>
        <w:tblW w:w="15172" w:type="dxa"/>
        <w:tblLayout w:type="fixed"/>
        <w:tblLook w:val="04A0" w:firstRow="1" w:lastRow="0" w:firstColumn="1" w:lastColumn="0" w:noHBand="0" w:noVBand="1"/>
      </w:tblPr>
      <w:tblGrid>
        <w:gridCol w:w="2408"/>
        <w:gridCol w:w="853"/>
        <w:gridCol w:w="763"/>
        <w:gridCol w:w="792"/>
        <w:gridCol w:w="851"/>
        <w:gridCol w:w="854"/>
        <w:gridCol w:w="851"/>
        <w:gridCol w:w="851"/>
        <w:gridCol w:w="850"/>
        <w:gridCol w:w="851"/>
        <w:gridCol w:w="854"/>
        <w:gridCol w:w="851"/>
        <w:gridCol w:w="850"/>
        <w:gridCol w:w="992"/>
        <w:gridCol w:w="851"/>
        <w:gridCol w:w="850"/>
      </w:tblGrid>
      <w:tr w:rsidR="007415EE" w:rsidRPr="007415EE" w:rsidTr="007415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8" w:type="dxa"/>
            <w:vMerge w:val="restart"/>
          </w:tcPr>
          <w:p w:rsidR="007415EE" w:rsidRPr="000542A8" w:rsidRDefault="007415EE" w:rsidP="006617A3">
            <w:pPr>
              <w:rPr>
                <w:sz w:val="18"/>
                <w:szCs w:val="18"/>
              </w:rPr>
            </w:pPr>
            <w:r w:rsidRPr="000542A8">
              <w:rPr>
                <w:sz w:val="18"/>
                <w:szCs w:val="18"/>
              </w:rPr>
              <w:t>Food</w:t>
            </w:r>
          </w:p>
        </w:tc>
        <w:tc>
          <w:tcPr>
            <w:tcW w:w="2408" w:type="dxa"/>
            <w:gridSpan w:val="3"/>
            <w:tcBorders>
              <w:bottom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0542A8">
              <w:rPr>
                <w:sz w:val="18"/>
                <w:szCs w:val="18"/>
              </w:rPr>
              <w:t>2013 Coordinated Survey</w:t>
            </w:r>
          </w:p>
        </w:tc>
        <w:tc>
          <w:tcPr>
            <w:tcW w:w="2556" w:type="dxa"/>
            <w:gridSpan w:val="3"/>
            <w:tcBorders>
              <w:bottom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0542A8">
              <w:rPr>
                <w:sz w:val="18"/>
                <w:szCs w:val="18"/>
              </w:rPr>
              <w:t>Deakin University Australia</w:t>
            </w:r>
          </w:p>
        </w:tc>
        <w:tc>
          <w:tcPr>
            <w:tcW w:w="2552" w:type="dxa"/>
            <w:gridSpan w:val="3"/>
            <w:tcBorders>
              <w:bottom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0542A8">
              <w:rPr>
                <w:sz w:val="18"/>
                <w:szCs w:val="18"/>
              </w:rPr>
              <w:t>UK</w:t>
            </w:r>
          </w:p>
        </w:tc>
        <w:tc>
          <w:tcPr>
            <w:tcW w:w="2555" w:type="dxa"/>
            <w:gridSpan w:val="3"/>
            <w:tcBorders>
              <w:bottom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0542A8">
              <w:rPr>
                <w:sz w:val="18"/>
                <w:szCs w:val="18"/>
              </w:rPr>
              <w:t xml:space="preserve">Ireland </w:t>
            </w:r>
          </w:p>
        </w:tc>
        <w:tc>
          <w:tcPr>
            <w:tcW w:w="2693" w:type="dxa"/>
            <w:gridSpan w:val="3"/>
            <w:tcBorders>
              <w:bottom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0542A8">
              <w:rPr>
                <w:sz w:val="18"/>
                <w:szCs w:val="18"/>
              </w:rPr>
              <w:t>Canada</w:t>
            </w:r>
          </w:p>
        </w:tc>
      </w:tr>
      <w:tr w:rsidR="007415EE" w:rsidRPr="007415EE" w:rsidTr="007415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8" w:type="dxa"/>
            <w:vMerge/>
            <w:tcBorders>
              <w:right w:val="single" w:sz="4" w:space="0" w:color="FFFFFF" w:themeColor="background1"/>
            </w:tcBorders>
          </w:tcPr>
          <w:p w:rsidR="007415EE" w:rsidRPr="000542A8" w:rsidRDefault="007415EE" w:rsidP="006617A3">
            <w:pPr>
              <w:rPr>
                <w:sz w:val="18"/>
                <w:szCs w:val="18"/>
              </w:rPr>
            </w:pPr>
          </w:p>
        </w:tc>
        <w:tc>
          <w:tcPr>
            <w:tcW w:w="8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Total fat</w:t>
            </w:r>
          </w:p>
        </w:tc>
        <w:tc>
          <w:tcPr>
            <w:tcW w:w="7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SFA</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TFA</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Total fat</w:t>
            </w:r>
          </w:p>
        </w:tc>
        <w:tc>
          <w:tcPr>
            <w:tcW w:w="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SFA</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TFA</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Total fat</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SFA</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TFA</w:t>
            </w:r>
          </w:p>
        </w:tc>
        <w:tc>
          <w:tcPr>
            <w:tcW w:w="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Total fat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SFA</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TFA</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Total fat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SFA</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TFA</w:t>
            </w:r>
          </w:p>
        </w:tc>
      </w:tr>
      <w:tr w:rsidR="007415EE" w:rsidRPr="007415EE" w:rsidTr="007415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8" w:type="dxa"/>
            <w:vMerge/>
            <w:tcBorders>
              <w:right w:val="single" w:sz="4" w:space="0" w:color="FFFFFF" w:themeColor="background1"/>
            </w:tcBorders>
          </w:tcPr>
          <w:p w:rsidR="007415EE" w:rsidRPr="000542A8" w:rsidRDefault="007415EE" w:rsidP="006617A3">
            <w:pPr>
              <w:rPr>
                <w:sz w:val="18"/>
                <w:szCs w:val="18"/>
              </w:rPr>
            </w:pPr>
          </w:p>
        </w:tc>
        <w:tc>
          <w:tcPr>
            <w:tcW w:w="240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(g / 100 g food)</w:t>
            </w:r>
          </w:p>
        </w:tc>
        <w:tc>
          <w:tcPr>
            <w:tcW w:w="25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(g / 100 g food)</w:t>
            </w:r>
          </w:p>
        </w:tc>
        <w:tc>
          <w:tcPr>
            <w:tcW w:w="25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C02E0B"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(g / 100 g food</w:t>
            </w:r>
            <w:r w:rsidR="007415EE" w:rsidRPr="000542A8">
              <w:rPr>
                <w:sz w:val="18"/>
                <w:szCs w:val="18"/>
              </w:rPr>
              <w:t>)</w:t>
            </w:r>
          </w:p>
        </w:tc>
        <w:tc>
          <w:tcPr>
            <w:tcW w:w="255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(g / 100 g food)</w:t>
            </w:r>
          </w:p>
        </w:tc>
        <w:tc>
          <w:tcPr>
            <w:tcW w:w="26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15EE" w:rsidRPr="000542A8" w:rsidRDefault="007415EE" w:rsidP="006617A3">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542A8">
              <w:rPr>
                <w:sz w:val="18"/>
                <w:szCs w:val="18"/>
              </w:rPr>
              <w:t>(g / 100 g food)</w:t>
            </w:r>
          </w:p>
        </w:tc>
      </w:tr>
      <w:tr w:rsidR="007415EE" w:rsidRPr="007415EE" w:rsidTr="0066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Toasted Style Muesli Cereal</w:t>
            </w:r>
          </w:p>
        </w:tc>
        <w:tc>
          <w:tcPr>
            <w:tcW w:w="853"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10.8-21.5</w:t>
            </w:r>
          </w:p>
        </w:tc>
        <w:tc>
          <w:tcPr>
            <w:tcW w:w="763"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1.6-7.3</w:t>
            </w:r>
          </w:p>
        </w:tc>
        <w:tc>
          <w:tcPr>
            <w:tcW w:w="792"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0.02-0.1</w:t>
            </w:r>
          </w:p>
        </w:tc>
        <w:tc>
          <w:tcPr>
            <w:tcW w:w="851"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4"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20.5</w:t>
            </w:r>
          </w:p>
        </w:tc>
        <w:tc>
          <w:tcPr>
            <w:tcW w:w="850"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4.6</w:t>
            </w:r>
          </w:p>
        </w:tc>
        <w:tc>
          <w:tcPr>
            <w:tcW w:w="851"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0.01</w:t>
            </w:r>
          </w:p>
        </w:tc>
        <w:tc>
          <w:tcPr>
            <w:tcW w:w="854"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992"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Borders>
              <w:top w:val="single" w:sz="4" w:space="0" w:color="FFFFFF" w:themeColor="background1"/>
            </w:tcBorders>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r>
      <w:tr w:rsidR="007415EE" w:rsidRPr="007415EE" w:rsidTr="006617A3">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Chicken Nuggets/Products</w:t>
            </w:r>
          </w:p>
        </w:tc>
        <w:tc>
          <w:tcPr>
            <w:tcW w:w="85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8.2-23.6</w:t>
            </w:r>
          </w:p>
        </w:tc>
        <w:tc>
          <w:tcPr>
            <w:tcW w:w="76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1.4-7.1</w:t>
            </w:r>
          </w:p>
        </w:tc>
        <w:tc>
          <w:tcPr>
            <w:tcW w:w="7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0.1-0.4</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15-24.7</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0.3-0.5</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11.6-15.5</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1.8-3.1</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0.02-0.1</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13.5-17.5</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2.2-8.1</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&lt;0.1-0.6</w:t>
            </w:r>
          </w:p>
        </w:tc>
        <w:tc>
          <w:tcPr>
            <w:tcW w:w="9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7.6-29</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0.8-5.6</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0.1-3.5</w:t>
            </w:r>
          </w:p>
        </w:tc>
      </w:tr>
      <w:tr w:rsidR="007415EE" w:rsidRPr="007415EE" w:rsidTr="0066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Meat Pie</w:t>
            </w:r>
          </w:p>
        </w:tc>
        <w:tc>
          <w:tcPr>
            <w:tcW w:w="85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8.6-13.9</w:t>
            </w:r>
          </w:p>
        </w:tc>
        <w:tc>
          <w:tcPr>
            <w:tcW w:w="76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4.2-7.5</w:t>
            </w:r>
          </w:p>
        </w:tc>
        <w:tc>
          <w:tcPr>
            <w:tcW w:w="7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0.1-0.9</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11.4-15.9</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0.9-1.8</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13-26</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5.5-10.1</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0.06-0.1</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r>
      <w:tr w:rsidR="007415EE" w:rsidRPr="007415EE" w:rsidTr="006617A3">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Sausage Roll</w:t>
            </w:r>
          </w:p>
        </w:tc>
        <w:tc>
          <w:tcPr>
            <w:tcW w:w="85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11.1-18.4</w:t>
            </w:r>
          </w:p>
        </w:tc>
        <w:tc>
          <w:tcPr>
            <w:tcW w:w="76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5.4-10.1</w:t>
            </w:r>
          </w:p>
        </w:tc>
        <w:tc>
          <w:tcPr>
            <w:tcW w:w="7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0.2-1.4</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11-13.7</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0.8-2.2</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24.1</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10.4</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0.03</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r>
      <w:tr w:rsidR="007415EE" w:rsidRPr="007415EE" w:rsidTr="0066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Crumbed/Battered Fish Fillets</w:t>
            </w:r>
          </w:p>
        </w:tc>
        <w:tc>
          <w:tcPr>
            <w:tcW w:w="85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1.5-25.4</w:t>
            </w:r>
          </w:p>
        </w:tc>
        <w:tc>
          <w:tcPr>
            <w:tcW w:w="76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0.4-13.7</w:t>
            </w:r>
          </w:p>
        </w:tc>
        <w:tc>
          <w:tcPr>
            <w:tcW w:w="7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0.1-0.6</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6-10.8</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0.1</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8.3-14.7</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1.2-7.6</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0.01-0.3</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r>
      <w:tr w:rsidR="007415EE" w:rsidRPr="007415EE" w:rsidTr="006617A3">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Hot Chips/Potato Products</w:t>
            </w:r>
          </w:p>
        </w:tc>
        <w:tc>
          <w:tcPr>
            <w:tcW w:w="85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2.0-25.2</w:t>
            </w:r>
          </w:p>
        </w:tc>
        <w:tc>
          <w:tcPr>
            <w:tcW w:w="76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0.4-9.3</w:t>
            </w:r>
          </w:p>
        </w:tc>
        <w:tc>
          <w:tcPr>
            <w:tcW w:w="7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0.03-0.4</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11.7-21.4</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0.3-0.4</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4.9-8.4</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0.8-4.3</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&lt;0.01-0.2</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13.4-25.3</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1.4-7.7</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&lt;0.1-0.1</w:t>
            </w:r>
          </w:p>
        </w:tc>
        <w:tc>
          <w:tcPr>
            <w:tcW w:w="9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2.7-25</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0.3-4.3</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0.7-3.8</w:t>
            </w:r>
          </w:p>
        </w:tc>
      </w:tr>
      <w:tr w:rsidR="007415EE" w:rsidRPr="007415EE" w:rsidTr="0066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Potato Crisps &amp; Corn Chips</w:t>
            </w:r>
          </w:p>
        </w:tc>
        <w:tc>
          <w:tcPr>
            <w:tcW w:w="85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19.3-36.4</w:t>
            </w:r>
          </w:p>
        </w:tc>
        <w:tc>
          <w:tcPr>
            <w:tcW w:w="76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2.3-15.1</w:t>
            </w:r>
          </w:p>
        </w:tc>
        <w:tc>
          <w:tcPr>
            <w:tcW w:w="7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0.1-0.4</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18.6-44.1</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0.3-0.6</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22.4-31.8</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1.9-8.4</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0.02-0.1</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r>
      <w:tr w:rsidR="007415EE" w:rsidRPr="007415EE" w:rsidTr="006617A3">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A10C20" w:rsidP="006617A3">
            <w:pPr>
              <w:rPr>
                <w:sz w:val="18"/>
                <w:szCs w:val="18"/>
              </w:rPr>
            </w:pPr>
            <w:r>
              <w:rPr>
                <w:sz w:val="18"/>
                <w:szCs w:val="18"/>
              </w:rPr>
              <w:t>Confectionery</w:t>
            </w:r>
          </w:p>
        </w:tc>
        <w:tc>
          <w:tcPr>
            <w:tcW w:w="85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7.7-35.9</w:t>
            </w:r>
          </w:p>
        </w:tc>
        <w:tc>
          <w:tcPr>
            <w:tcW w:w="76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4.5-31.6</w:t>
            </w:r>
          </w:p>
        </w:tc>
        <w:tc>
          <w:tcPr>
            <w:tcW w:w="7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0.1-0.5</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24.5-35.1</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0.4-1.7</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15.3-31.1</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7.3-18.7</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0.03-0.2</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r>
      <w:tr w:rsidR="007415EE" w:rsidRPr="007415EE" w:rsidTr="0066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Chocolate Coated &amp; Chocolate Filled Biscuits</w:t>
            </w:r>
          </w:p>
        </w:tc>
        <w:tc>
          <w:tcPr>
            <w:tcW w:w="85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18.0-31.4</w:t>
            </w:r>
          </w:p>
        </w:tc>
        <w:tc>
          <w:tcPr>
            <w:tcW w:w="76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9.8-25.5</w:t>
            </w:r>
          </w:p>
        </w:tc>
        <w:tc>
          <w:tcPr>
            <w:tcW w:w="7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0.1-0.3</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19.4-27.1</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0.3-5.7</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23.6</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13.5</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0.05</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r>
      <w:tr w:rsidR="007415EE" w:rsidRPr="007415EE" w:rsidTr="006617A3">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Snack Bars</w:t>
            </w:r>
          </w:p>
        </w:tc>
        <w:tc>
          <w:tcPr>
            <w:tcW w:w="85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8.8-35.2</w:t>
            </w:r>
          </w:p>
        </w:tc>
        <w:tc>
          <w:tcPr>
            <w:tcW w:w="76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1.4-10.5</w:t>
            </w:r>
          </w:p>
        </w:tc>
        <w:tc>
          <w:tcPr>
            <w:tcW w:w="7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0.1-0.2</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6.7-7.9</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0-0.2</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25.8</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16.3</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0.1</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r>
      <w:tr w:rsidR="007415EE" w:rsidRPr="007415EE" w:rsidTr="0066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Nut Based Spreads</w:t>
            </w:r>
          </w:p>
        </w:tc>
        <w:tc>
          <w:tcPr>
            <w:tcW w:w="85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19.1-54.3</w:t>
            </w:r>
          </w:p>
        </w:tc>
        <w:tc>
          <w:tcPr>
            <w:tcW w:w="76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2.8-11.6</w:t>
            </w:r>
          </w:p>
        </w:tc>
        <w:tc>
          <w:tcPr>
            <w:tcW w:w="7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0.1-0.3</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26.4-50.3</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0.1-1.6</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37.7</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8.1</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0.03</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r>
      <w:tr w:rsidR="007415EE" w:rsidRPr="007415EE" w:rsidTr="006617A3">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Oil Based Dressings</w:t>
            </w:r>
          </w:p>
        </w:tc>
        <w:tc>
          <w:tcPr>
            <w:tcW w:w="85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13.5-79.8</w:t>
            </w:r>
          </w:p>
        </w:tc>
        <w:tc>
          <w:tcPr>
            <w:tcW w:w="76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1.7-8.9</w:t>
            </w:r>
          </w:p>
        </w:tc>
        <w:tc>
          <w:tcPr>
            <w:tcW w:w="7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0.06-1.0</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74.8</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5.7</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0.04</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r>
      <w:tr w:rsidR="007415EE" w:rsidRPr="007415EE" w:rsidTr="0066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Pizza</w:t>
            </w:r>
          </w:p>
        </w:tc>
        <w:tc>
          <w:tcPr>
            <w:tcW w:w="85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4.9-14.8</w:t>
            </w:r>
          </w:p>
        </w:tc>
        <w:tc>
          <w:tcPr>
            <w:tcW w:w="76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2.4-6.5</w:t>
            </w:r>
          </w:p>
        </w:tc>
        <w:tc>
          <w:tcPr>
            <w:tcW w:w="7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0.05-0.4</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5.6-17.9</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0.2-2.2</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7.2-13.9</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3.4-6.8</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0.1-0.3</w:t>
            </w:r>
          </w:p>
        </w:tc>
        <w:tc>
          <w:tcPr>
            <w:tcW w:w="9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r>
      <w:tr w:rsidR="007415EE" w:rsidRPr="007415EE" w:rsidTr="006617A3">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Desserts</w:t>
            </w:r>
          </w:p>
        </w:tc>
        <w:tc>
          <w:tcPr>
            <w:tcW w:w="85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8.3-31.6</w:t>
            </w:r>
          </w:p>
        </w:tc>
        <w:tc>
          <w:tcPr>
            <w:tcW w:w="76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4.4-15.9</w:t>
            </w:r>
          </w:p>
        </w:tc>
        <w:tc>
          <w:tcPr>
            <w:tcW w:w="7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0.1-0.8</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5.5-21.8</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3-12.9</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0.1-0.3</w:t>
            </w:r>
          </w:p>
        </w:tc>
        <w:tc>
          <w:tcPr>
            <w:tcW w:w="9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6.7-27.7</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1.7-13.4</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0.02-4.9</w:t>
            </w:r>
          </w:p>
        </w:tc>
      </w:tr>
      <w:tr w:rsidR="007415EE" w:rsidRPr="007415EE" w:rsidTr="0066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Choc Chip Biscuit</w:t>
            </w:r>
          </w:p>
        </w:tc>
        <w:tc>
          <w:tcPr>
            <w:tcW w:w="85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13.1-30.6</w:t>
            </w:r>
          </w:p>
        </w:tc>
        <w:tc>
          <w:tcPr>
            <w:tcW w:w="76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4.3-17.4</w:t>
            </w:r>
          </w:p>
        </w:tc>
        <w:tc>
          <w:tcPr>
            <w:tcW w:w="7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0.1-0.9</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21-25</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6.4-14.9</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0.2-6</w:t>
            </w:r>
          </w:p>
        </w:tc>
      </w:tr>
      <w:tr w:rsidR="007415EE" w:rsidRPr="007415EE" w:rsidTr="006617A3">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Croissant</w:t>
            </w:r>
          </w:p>
        </w:tc>
        <w:tc>
          <w:tcPr>
            <w:tcW w:w="85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14.9-27.5</w:t>
            </w:r>
          </w:p>
        </w:tc>
        <w:tc>
          <w:tcPr>
            <w:tcW w:w="76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9.9-18.6</w:t>
            </w:r>
          </w:p>
        </w:tc>
        <w:tc>
          <w:tcPr>
            <w:tcW w:w="7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0.4-1.4</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19.1-20.7</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0.3-0.4</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15.7-15.9</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3.4-9.9</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0.4-7</w:t>
            </w:r>
          </w:p>
        </w:tc>
      </w:tr>
      <w:tr w:rsidR="007415EE" w:rsidRPr="007415EE" w:rsidTr="0066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Donut</w:t>
            </w:r>
          </w:p>
        </w:tc>
        <w:tc>
          <w:tcPr>
            <w:tcW w:w="85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3.1-24.0</w:t>
            </w:r>
          </w:p>
        </w:tc>
        <w:tc>
          <w:tcPr>
            <w:tcW w:w="76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0.3-15.5</w:t>
            </w:r>
          </w:p>
        </w:tc>
        <w:tc>
          <w:tcPr>
            <w:tcW w:w="7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0.08-0.9</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13.5-23.2</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0.2-6.6</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14-26.1</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5.5-6.5</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0.6-9.6</w:t>
            </w:r>
          </w:p>
        </w:tc>
      </w:tr>
      <w:tr w:rsidR="007415EE" w:rsidRPr="007415EE" w:rsidTr="006617A3">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lastRenderedPageBreak/>
              <w:t>Sweet Muffins &amp; Banana Bread</w:t>
            </w:r>
          </w:p>
        </w:tc>
        <w:tc>
          <w:tcPr>
            <w:tcW w:w="85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6.7-22.4</w:t>
            </w:r>
          </w:p>
        </w:tc>
        <w:tc>
          <w:tcPr>
            <w:tcW w:w="76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0.6-14.1</w:t>
            </w:r>
          </w:p>
        </w:tc>
        <w:tc>
          <w:tcPr>
            <w:tcW w:w="7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0.08-0.8</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11.5-19.8</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0.2-0.6</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8-14</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0.9-1.8</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0.1-0.2</w:t>
            </w:r>
          </w:p>
        </w:tc>
      </w:tr>
      <w:tr w:rsidR="007415EE" w:rsidRPr="007415EE" w:rsidTr="0066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Spring Roll</w:t>
            </w:r>
          </w:p>
        </w:tc>
        <w:tc>
          <w:tcPr>
            <w:tcW w:w="85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4.7-21.7</w:t>
            </w:r>
          </w:p>
        </w:tc>
        <w:tc>
          <w:tcPr>
            <w:tcW w:w="76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0.9-5.8</w:t>
            </w:r>
          </w:p>
        </w:tc>
        <w:tc>
          <w:tcPr>
            <w:tcW w:w="7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0.07-0.3</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18.6</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0.2</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4.3</w:t>
            </w:r>
          </w:p>
        </w:tc>
      </w:tr>
      <w:tr w:rsidR="007415EE" w:rsidRPr="007415EE" w:rsidTr="006617A3">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Savoury Biscuits- Standard</w:t>
            </w:r>
          </w:p>
        </w:tc>
        <w:tc>
          <w:tcPr>
            <w:tcW w:w="85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2.0-28.8</w:t>
            </w:r>
          </w:p>
        </w:tc>
        <w:tc>
          <w:tcPr>
            <w:tcW w:w="76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0.3-14.9</w:t>
            </w:r>
          </w:p>
        </w:tc>
        <w:tc>
          <w:tcPr>
            <w:tcW w:w="7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0-0.8</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16.6-21.5</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0.1-3.9</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r>
      <w:tr w:rsidR="007415EE" w:rsidRPr="007415EE" w:rsidTr="0066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Popcorn</w:t>
            </w:r>
          </w:p>
        </w:tc>
        <w:tc>
          <w:tcPr>
            <w:tcW w:w="85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11.7-29.6</w:t>
            </w:r>
          </w:p>
        </w:tc>
        <w:tc>
          <w:tcPr>
            <w:tcW w:w="763"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2.6-20.8</w:t>
            </w:r>
          </w:p>
        </w:tc>
        <w:tc>
          <w:tcPr>
            <w:tcW w:w="7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0-4.8</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4.1-26.8</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0-8.1</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100000" w:firstRow="0" w:lastRow="0" w:firstColumn="0" w:lastColumn="0" w:oddVBand="0" w:evenVBand="0" w:oddHBand="1" w:evenHBand="0" w:firstRowFirstColumn="0" w:firstRowLastColumn="0" w:lastRowFirstColumn="0" w:lastRowLastColumn="0"/>
              <w:rPr>
                <w:sz w:val="18"/>
                <w:szCs w:val="18"/>
              </w:rPr>
            </w:pPr>
            <w:r w:rsidRPr="000542A8">
              <w:rPr>
                <w:sz w:val="18"/>
                <w:szCs w:val="18"/>
              </w:rPr>
              <w:t>-</w:t>
            </w:r>
          </w:p>
        </w:tc>
      </w:tr>
      <w:tr w:rsidR="007415EE" w:rsidRPr="007415EE" w:rsidTr="006617A3">
        <w:tc>
          <w:tcPr>
            <w:cnfStyle w:val="001000000000" w:firstRow="0" w:lastRow="0" w:firstColumn="1" w:lastColumn="0" w:oddVBand="0" w:evenVBand="0" w:oddHBand="0" w:evenHBand="0" w:firstRowFirstColumn="0" w:firstRowLastColumn="0" w:lastRowFirstColumn="0" w:lastRowLastColumn="0"/>
            <w:tcW w:w="2408" w:type="dxa"/>
          </w:tcPr>
          <w:p w:rsidR="007415EE" w:rsidRPr="000542A8" w:rsidRDefault="007415EE" w:rsidP="006617A3">
            <w:pPr>
              <w:rPr>
                <w:sz w:val="18"/>
                <w:szCs w:val="18"/>
              </w:rPr>
            </w:pPr>
            <w:r w:rsidRPr="000542A8">
              <w:rPr>
                <w:sz w:val="18"/>
                <w:szCs w:val="18"/>
              </w:rPr>
              <w:t>Prepared Pastry</w:t>
            </w:r>
          </w:p>
        </w:tc>
        <w:tc>
          <w:tcPr>
            <w:tcW w:w="85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12.2-34.6</w:t>
            </w:r>
          </w:p>
        </w:tc>
        <w:tc>
          <w:tcPr>
            <w:tcW w:w="763"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6.1-24.5</w:t>
            </w:r>
          </w:p>
        </w:tc>
        <w:tc>
          <w:tcPr>
            <w:tcW w:w="7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0.2-1.5</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10.1-37.2</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0.6-7.6</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4"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992"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1"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c>
          <w:tcPr>
            <w:tcW w:w="850" w:type="dxa"/>
          </w:tcPr>
          <w:p w:rsidR="007415EE" w:rsidRPr="000542A8" w:rsidRDefault="007415EE" w:rsidP="006617A3">
            <w:pPr>
              <w:cnfStyle w:val="000000000000" w:firstRow="0" w:lastRow="0" w:firstColumn="0" w:lastColumn="0" w:oddVBand="0" w:evenVBand="0" w:oddHBand="0" w:evenHBand="0" w:firstRowFirstColumn="0" w:firstRowLastColumn="0" w:lastRowFirstColumn="0" w:lastRowLastColumn="0"/>
              <w:rPr>
                <w:sz w:val="18"/>
                <w:szCs w:val="18"/>
              </w:rPr>
            </w:pPr>
            <w:r w:rsidRPr="000542A8">
              <w:rPr>
                <w:sz w:val="18"/>
                <w:szCs w:val="18"/>
              </w:rPr>
              <w:t>-</w:t>
            </w:r>
          </w:p>
        </w:tc>
      </w:tr>
    </w:tbl>
    <w:p w:rsidR="000B6DF7" w:rsidRPr="00BE51FC" w:rsidRDefault="000B6DF7" w:rsidP="000B6DF7">
      <w:pPr>
        <w:rPr>
          <w:sz w:val="20"/>
          <w:szCs w:val="20"/>
        </w:rPr>
      </w:pPr>
      <w:r w:rsidRPr="00BE51FC">
        <w:rPr>
          <w:sz w:val="20"/>
          <w:szCs w:val="20"/>
        </w:rPr>
        <w:t xml:space="preserve">- </w:t>
      </w:r>
      <w:r>
        <w:rPr>
          <w:sz w:val="20"/>
          <w:szCs w:val="20"/>
        </w:rPr>
        <w:t xml:space="preserve">Product category </w:t>
      </w:r>
      <w:r w:rsidRPr="00BE51FC">
        <w:rPr>
          <w:sz w:val="20"/>
          <w:szCs w:val="20"/>
        </w:rPr>
        <w:t>not analysed</w:t>
      </w:r>
      <w:r>
        <w:rPr>
          <w:sz w:val="20"/>
          <w:szCs w:val="20"/>
        </w:rPr>
        <w:t>.</w:t>
      </w:r>
    </w:p>
    <w:p w:rsidR="000B6DF7" w:rsidRDefault="000B6DF7" w:rsidP="000B6DF7">
      <w:pPr>
        <w:rPr>
          <w:sz w:val="20"/>
          <w:szCs w:val="20"/>
        </w:rPr>
      </w:pPr>
      <w:r w:rsidRPr="00BE51FC">
        <w:rPr>
          <w:sz w:val="20"/>
          <w:szCs w:val="20"/>
        </w:rPr>
        <w:t xml:space="preserve">Values shown represent the range of values reported for the selected </w:t>
      </w:r>
      <w:r>
        <w:rPr>
          <w:sz w:val="20"/>
          <w:szCs w:val="20"/>
        </w:rPr>
        <w:t>product category.</w:t>
      </w:r>
    </w:p>
    <w:p w:rsidR="000B6DF7" w:rsidRDefault="000B6DF7" w:rsidP="000B6DF7"/>
    <w:p w:rsidR="000B6DF7" w:rsidRDefault="000B6DF7" w:rsidP="000B6DF7">
      <w:pPr>
        <w:pStyle w:val="Footer"/>
      </w:pPr>
    </w:p>
    <w:p w:rsidR="000B6DF7" w:rsidRPr="00B73CCD" w:rsidRDefault="000B6DF7" w:rsidP="000B6DF7">
      <w:pPr>
        <w:pStyle w:val="Footer"/>
      </w:pPr>
    </w:p>
    <w:p w:rsidR="00D60568" w:rsidRPr="00E203C2" w:rsidRDefault="00D60568" w:rsidP="00690206"/>
    <w:sectPr w:rsidR="00D60568" w:rsidRPr="00E203C2" w:rsidSect="00AF4CB8">
      <w:footerReference w:type="default" r:id="rId4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65" w:rsidRDefault="00BA6065">
      <w:r>
        <w:separator/>
      </w:r>
    </w:p>
  </w:endnote>
  <w:endnote w:type="continuationSeparator" w:id="0">
    <w:p w:rsidR="00BA6065" w:rsidRDefault="00B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65" w:rsidRDefault="00BA606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6065" w:rsidRDefault="00BA606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140221"/>
      <w:docPartObj>
        <w:docPartGallery w:val="Page Numbers (Bottom of Page)"/>
        <w:docPartUnique/>
      </w:docPartObj>
    </w:sdtPr>
    <w:sdtEndPr>
      <w:rPr>
        <w:noProof/>
      </w:rPr>
    </w:sdtEndPr>
    <w:sdtContent>
      <w:p w:rsidR="00BA6065" w:rsidRDefault="00BA6065">
        <w:pPr>
          <w:pStyle w:val="Footer"/>
          <w:jc w:val="right"/>
        </w:pPr>
        <w:r>
          <w:fldChar w:fldCharType="begin"/>
        </w:r>
        <w:r>
          <w:instrText xml:space="preserve"> PAGE   \* MERGEFORMAT </w:instrText>
        </w:r>
        <w:r>
          <w:fldChar w:fldCharType="separate"/>
        </w:r>
        <w:r w:rsidR="00A47B82">
          <w:rPr>
            <w:noProof/>
          </w:rPr>
          <w:t>20</w:t>
        </w:r>
        <w:r>
          <w:rPr>
            <w:noProof/>
          </w:rPr>
          <w:fldChar w:fldCharType="end"/>
        </w:r>
      </w:p>
    </w:sdtContent>
  </w:sdt>
  <w:p w:rsidR="00BA6065" w:rsidRPr="00BA1903" w:rsidRDefault="00BA6065" w:rsidP="000B6DF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185744"/>
      <w:docPartObj>
        <w:docPartGallery w:val="Page Numbers (Bottom of Page)"/>
        <w:docPartUnique/>
      </w:docPartObj>
    </w:sdtPr>
    <w:sdtEndPr>
      <w:rPr>
        <w:noProof/>
      </w:rPr>
    </w:sdtEndPr>
    <w:sdtContent>
      <w:p w:rsidR="00BA6065" w:rsidRDefault="00BA6065">
        <w:pPr>
          <w:pStyle w:val="Footer"/>
        </w:pPr>
        <w:r>
          <w:fldChar w:fldCharType="begin"/>
        </w:r>
        <w:r>
          <w:instrText xml:space="preserve"> PAGE   \* MERGEFORMAT </w:instrText>
        </w:r>
        <w:r>
          <w:fldChar w:fldCharType="separate"/>
        </w:r>
        <w:r w:rsidR="00A47B82">
          <w:rPr>
            <w:noProof/>
          </w:rPr>
          <w:t>23</w:t>
        </w:r>
        <w:r>
          <w:rPr>
            <w:noProof/>
          </w:rPr>
          <w:fldChar w:fldCharType="end"/>
        </w:r>
      </w:p>
    </w:sdtContent>
  </w:sdt>
  <w:p w:rsidR="00BA6065" w:rsidRPr="00F27259" w:rsidRDefault="00BA6065" w:rsidP="000B6DF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329968"/>
      <w:docPartObj>
        <w:docPartGallery w:val="Page Numbers (Bottom of Page)"/>
        <w:docPartUnique/>
      </w:docPartObj>
    </w:sdtPr>
    <w:sdtEndPr>
      <w:rPr>
        <w:noProof/>
      </w:rPr>
    </w:sdtEndPr>
    <w:sdtContent>
      <w:p w:rsidR="00BA6065" w:rsidRDefault="00BA6065">
        <w:pPr>
          <w:pStyle w:val="Footer"/>
          <w:jc w:val="right"/>
        </w:pPr>
        <w:r>
          <w:fldChar w:fldCharType="begin"/>
        </w:r>
        <w:r>
          <w:instrText xml:space="preserve"> PAGE   \* MERGEFORMAT </w:instrText>
        </w:r>
        <w:r>
          <w:fldChar w:fldCharType="separate"/>
        </w:r>
        <w:r w:rsidR="00A47B82">
          <w:rPr>
            <w:noProof/>
          </w:rPr>
          <w:t>30</w:t>
        </w:r>
        <w:r>
          <w:rPr>
            <w:noProof/>
          </w:rPr>
          <w:fldChar w:fldCharType="end"/>
        </w:r>
      </w:p>
    </w:sdtContent>
  </w:sdt>
  <w:p w:rsidR="00BA6065" w:rsidRPr="001725B7" w:rsidRDefault="00BA6065" w:rsidP="000B6DF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990293"/>
      <w:docPartObj>
        <w:docPartGallery w:val="Page Numbers (Bottom of Page)"/>
        <w:docPartUnique/>
      </w:docPartObj>
    </w:sdtPr>
    <w:sdtEndPr>
      <w:rPr>
        <w:noProof/>
      </w:rPr>
    </w:sdtEndPr>
    <w:sdtContent>
      <w:p w:rsidR="00BA6065" w:rsidRDefault="00BA6065">
        <w:pPr>
          <w:pStyle w:val="Footer"/>
        </w:pPr>
        <w:r>
          <w:fldChar w:fldCharType="begin"/>
        </w:r>
        <w:r>
          <w:instrText xml:space="preserve"> PAGE   \* MERGEFORMAT </w:instrText>
        </w:r>
        <w:r>
          <w:fldChar w:fldCharType="separate"/>
        </w:r>
        <w:r w:rsidR="00A47B82">
          <w:rPr>
            <w:noProof/>
          </w:rPr>
          <w:t>32</w:t>
        </w:r>
        <w:r>
          <w:rPr>
            <w:noProof/>
          </w:rPr>
          <w:fldChar w:fldCharType="end"/>
        </w:r>
      </w:p>
    </w:sdtContent>
  </w:sdt>
  <w:p w:rsidR="00BA6065" w:rsidRPr="001725B7" w:rsidRDefault="00BA6065" w:rsidP="000B6DF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55427"/>
      <w:docPartObj>
        <w:docPartGallery w:val="Page Numbers (Bottom of Page)"/>
        <w:docPartUnique/>
      </w:docPartObj>
    </w:sdtPr>
    <w:sdtEndPr>
      <w:rPr>
        <w:noProof/>
      </w:rPr>
    </w:sdtEndPr>
    <w:sdtContent>
      <w:p w:rsidR="00BA6065" w:rsidRDefault="00BA6065">
        <w:pPr>
          <w:pStyle w:val="Footer"/>
        </w:pPr>
        <w:r>
          <w:fldChar w:fldCharType="begin"/>
        </w:r>
        <w:r>
          <w:instrText xml:space="preserve"> PAGE   \* MERGEFORMAT </w:instrText>
        </w:r>
        <w:r>
          <w:fldChar w:fldCharType="separate"/>
        </w:r>
        <w:r w:rsidR="00A47B82">
          <w:rPr>
            <w:noProof/>
          </w:rPr>
          <w:t>33</w:t>
        </w:r>
        <w:r>
          <w:rPr>
            <w:noProof/>
          </w:rPr>
          <w:fldChar w:fldCharType="end"/>
        </w:r>
      </w:p>
    </w:sdtContent>
  </w:sdt>
  <w:p w:rsidR="00BA6065" w:rsidRPr="00AD5F6D" w:rsidRDefault="00BA6065" w:rsidP="000B6DF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02172"/>
      <w:docPartObj>
        <w:docPartGallery w:val="Page Numbers (Bottom of Page)"/>
        <w:docPartUnique/>
      </w:docPartObj>
    </w:sdtPr>
    <w:sdtEndPr>
      <w:rPr>
        <w:noProof/>
      </w:rPr>
    </w:sdtEndPr>
    <w:sdtContent>
      <w:p w:rsidR="00BA6065" w:rsidRDefault="00BA6065">
        <w:pPr>
          <w:pStyle w:val="Footer"/>
          <w:jc w:val="right"/>
        </w:pPr>
        <w:r>
          <w:fldChar w:fldCharType="begin"/>
        </w:r>
        <w:r>
          <w:instrText xml:space="preserve"> PAGE   \* MERGEFORMAT </w:instrText>
        </w:r>
        <w:r>
          <w:fldChar w:fldCharType="separate"/>
        </w:r>
        <w:r w:rsidR="00A47B82">
          <w:rPr>
            <w:noProof/>
          </w:rPr>
          <w:t>46</w:t>
        </w:r>
        <w:r>
          <w:rPr>
            <w:noProof/>
          </w:rPr>
          <w:fldChar w:fldCharType="end"/>
        </w:r>
      </w:p>
    </w:sdtContent>
  </w:sdt>
  <w:p w:rsidR="00BA6065" w:rsidRPr="00AD5F6D" w:rsidRDefault="00BA6065" w:rsidP="000B6DF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614413"/>
      <w:docPartObj>
        <w:docPartGallery w:val="Page Numbers (Bottom of Page)"/>
        <w:docPartUnique/>
      </w:docPartObj>
    </w:sdtPr>
    <w:sdtEndPr>
      <w:rPr>
        <w:noProof/>
      </w:rPr>
    </w:sdtEndPr>
    <w:sdtContent>
      <w:p w:rsidR="00BA6065" w:rsidRDefault="00BA6065">
        <w:pPr>
          <w:pStyle w:val="Footer"/>
        </w:pPr>
        <w:r>
          <w:fldChar w:fldCharType="begin"/>
        </w:r>
        <w:r>
          <w:instrText xml:space="preserve"> PAGE   \* MERGEFORMAT </w:instrText>
        </w:r>
        <w:r>
          <w:fldChar w:fldCharType="separate"/>
        </w:r>
        <w:r w:rsidR="00A47B82">
          <w:rPr>
            <w:noProof/>
          </w:rPr>
          <w:t>49</w:t>
        </w:r>
        <w:r>
          <w:rPr>
            <w:noProof/>
          </w:rPr>
          <w:fldChar w:fldCharType="end"/>
        </w:r>
      </w:p>
    </w:sdtContent>
  </w:sdt>
  <w:p w:rsidR="00BA6065" w:rsidRPr="00AD5F6D" w:rsidRDefault="00BA6065" w:rsidP="000B6DF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63933"/>
      <w:docPartObj>
        <w:docPartGallery w:val="Page Numbers (Bottom of Page)"/>
        <w:docPartUnique/>
      </w:docPartObj>
    </w:sdtPr>
    <w:sdtEndPr>
      <w:rPr>
        <w:noProof/>
      </w:rPr>
    </w:sdtEndPr>
    <w:sdtContent>
      <w:p w:rsidR="00BA6065" w:rsidRDefault="00BA6065">
        <w:pPr>
          <w:pStyle w:val="Footer"/>
          <w:jc w:val="right"/>
        </w:pPr>
        <w:r>
          <w:fldChar w:fldCharType="begin"/>
        </w:r>
        <w:r>
          <w:instrText xml:space="preserve"> PAGE   \* MERGEFORMAT </w:instrText>
        </w:r>
        <w:r>
          <w:fldChar w:fldCharType="separate"/>
        </w:r>
        <w:r w:rsidR="00A47B82">
          <w:rPr>
            <w:noProof/>
          </w:rPr>
          <w:t>51</w:t>
        </w:r>
        <w:r>
          <w:rPr>
            <w:noProof/>
          </w:rPr>
          <w:fldChar w:fldCharType="end"/>
        </w:r>
      </w:p>
    </w:sdtContent>
  </w:sdt>
  <w:p w:rsidR="00BA6065" w:rsidRPr="00AD5F6D" w:rsidRDefault="00BA6065" w:rsidP="000B6DF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799000"/>
      <w:docPartObj>
        <w:docPartGallery w:val="Page Numbers (Bottom of Page)"/>
        <w:docPartUnique/>
      </w:docPartObj>
    </w:sdtPr>
    <w:sdtEndPr>
      <w:rPr>
        <w:noProof/>
      </w:rPr>
    </w:sdtEndPr>
    <w:sdtContent>
      <w:p w:rsidR="00BA6065" w:rsidRDefault="00BA6065">
        <w:pPr>
          <w:pStyle w:val="Footer"/>
        </w:pPr>
        <w:r>
          <w:fldChar w:fldCharType="begin"/>
        </w:r>
        <w:r>
          <w:instrText xml:space="preserve"> PAGE   \* MERGEFORMAT </w:instrText>
        </w:r>
        <w:r>
          <w:fldChar w:fldCharType="separate"/>
        </w:r>
        <w:r w:rsidR="00A47B82">
          <w:rPr>
            <w:noProof/>
          </w:rPr>
          <w:t>53</w:t>
        </w:r>
        <w:r>
          <w:rPr>
            <w:noProof/>
          </w:rPr>
          <w:fldChar w:fldCharType="end"/>
        </w:r>
      </w:p>
    </w:sdtContent>
  </w:sdt>
  <w:p w:rsidR="00BA6065" w:rsidRPr="00AD5F6D" w:rsidRDefault="00BA6065" w:rsidP="000B6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309026"/>
      <w:docPartObj>
        <w:docPartGallery w:val="Page Numbers (Bottom of Page)"/>
        <w:docPartUnique/>
      </w:docPartObj>
    </w:sdtPr>
    <w:sdtEndPr>
      <w:rPr>
        <w:noProof/>
      </w:rPr>
    </w:sdtEndPr>
    <w:sdtContent>
      <w:p w:rsidR="00BA6065" w:rsidRDefault="00BA6065">
        <w:pPr>
          <w:pStyle w:val="Footer"/>
          <w:jc w:val="right"/>
        </w:pPr>
        <w:r>
          <w:fldChar w:fldCharType="begin"/>
        </w:r>
        <w:r>
          <w:instrText xml:space="preserve"> PAGE   \* MERGEFORMAT </w:instrText>
        </w:r>
        <w:r>
          <w:fldChar w:fldCharType="separate"/>
        </w:r>
        <w:r w:rsidR="00A47B82">
          <w:rPr>
            <w:noProof/>
          </w:rPr>
          <w:t>ii</w:t>
        </w:r>
        <w:r>
          <w:rPr>
            <w:noProof/>
          </w:rPr>
          <w:fldChar w:fldCharType="end"/>
        </w:r>
      </w:p>
    </w:sdtContent>
  </w:sdt>
  <w:p w:rsidR="00BA6065" w:rsidRDefault="00BA606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65" w:rsidRDefault="00BA6065">
    <w:pPr>
      <w:pStyle w:val="Footer"/>
      <w:jc w:val="right"/>
    </w:pPr>
  </w:p>
  <w:p w:rsidR="00BA6065" w:rsidRDefault="00BA606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724588"/>
      <w:docPartObj>
        <w:docPartGallery w:val="Page Numbers (Bottom of Page)"/>
        <w:docPartUnique/>
      </w:docPartObj>
    </w:sdtPr>
    <w:sdtEndPr>
      <w:rPr>
        <w:noProof/>
      </w:rPr>
    </w:sdtEndPr>
    <w:sdtContent>
      <w:p w:rsidR="00BA6065" w:rsidRDefault="00BA6065" w:rsidP="00000DF7">
        <w:pPr>
          <w:pStyle w:val="Footer"/>
          <w:jc w:val="right"/>
        </w:pPr>
        <w:r>
          <w:fldChar w:fldCharType="begin"/>
        </w:r>
        <w:r>
          <w:instrText xml:space="preserve"> PAGE   \* MERGEFORMAT </w:instrText>
        </w:r>
        <w:r>
          <w:fldChar w:fldCharType="separate"/>
        </w:r>
        <w:r w:rsidR="00A47B82">
          <w:rPr>
            <w:noProof/>
          </w:rPr>
          <w:t>8</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002864"/>
      <w:docPartObj>
        <w:docPartGallery w:val="Page Numbers (Bottom of Page)"/>
        <w:docPartUnique/>
      </w:docPartObj>
    </w:sdtPr>
    <w:sdtEndPr>
      <w:rPr>
        <w:noProof/>
      </w:rPr>
    </w:sdtEndPr>
    <w:sdtContent>
      <w:p w:rsidR="00BA6065" w:rsidRDefault="00BA6065" w:rsidP="00000DF7">
        <w:pPr>
          <w:pStyle w:val="Footer"/>
        </w:pPr>
        <w:r>
          <w:fldChar w:fldCharType="begin"/>
        </w:r>
        <w:r>
          <w:instrText xml:space="preserve"> PAGE   \* MERGEFORMAT </w:instrText>
        </w:r>
        <w:r>
          <w:fldChar w:fldCharType="separate"/>
        </w:r>
        <w:r w:rsidR="00A47B82">
          <w:rPr>
            <w:noProof/>
          </w:rPr>
          <w:t>9</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006208"/>
      <w:docPartObj>
        <w:docPartGallery w:val="Page Numbers (Bottom of Page)"/>
        <w:docPartUnique/>
      </w:docPartObj>
    </w:sdtPr>
    <w:sdtEndPr>
      <w:rPr>
        <w:noProof/>
      </w:rPr>
    </w:sdtEndPr>
    <w:sdtContent>
      <w:p w:rsidR="00BA6065" w:rsidRDefault="00BA6065">
        <w:pPr>
          <w:pStyle w:val="Footer"/>
          <w:jc w:val="right"/>
        </w:pPr>
        <w:r>
          <w:fldChar w:fldCharType="begin"/>
        </w:r>
        <w:r>
          <w:instrText xml:space="preserve"> PAGE   \* MERGEFORMAT </w:instrText>
        </w:r>
        <w:r>
          <w:fldChar w:fldCharType="separate"/>
        </w:r>
        <w:r w:rsidR="00A47B82">
          <w:rPr>
            <w:noProof/>
          </w:rPr>
          <w:t>10</w:t>
        </w:r>
        <w:r>
          <w:rPr>
            <w:noProof/>
          </w:rPr>
          <w:fldChar w:fldCharType="end"/>
        </w:r>
      </w:p>
    </w:sdtContent>
  </w:sdt>
  <w:p w:rsidR="00BA6065" w:rsidRDefault="00BA6065" w:rsidP="00000DF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63903"/>
      <w:docPartObj>
        <w:docPartGallery w:val="Page Numbers (Bottom of Page)"/>
        <w:docPartUnique/>
      </w:docPartObj>
    </w:sdtPr>
    <w:sdtEndPr>
      <w:rPr>
        <w:noProof/>
      </w:rPr>
    </w:sdtEndPr>
    <w:sdtContent>
      <w:p w:rsidR="00BA6065" w:rsidRDefault="00BA6065" w:rsidP="00000DF7">
        <w:pPr>
          <w:pStyle w:val="Footer"/>
        </w:pPr>
        <w:r>
          <w:fldChar w:fldCharType="begin"/>
        </w:r>
        <w:r>
          <w:instrText xml:space="preserve"> PAGE   \* MERGEFORMAT </w:instrText>
        </w:r>
        <w:r>
          <w:fldChar w:fldCharType="separate"/>
        </w:r>
        <w:r w:rsidR="00A47B82">
          <w:rPr>
            <w:noProof/>
          </w:rPr>
          <w:t>13</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51454"/>
      <w:docPartObj>
        <w:docPartGallery w:val="Page Numbers (Bottom of Page)"/>
        <w:docPartUnique/>
      </w:docPartObj>
    </w:sdtPr>
    <w:sdtEndPr>
      <w:rPr>
        <w:noProof/>
      </w:rPr>
    </w:sdtEndPr>
    <w:sdtContent>
      <w:p w:rsidR="00BA6065" w:rsidRDefault="00BA6065">
        <w:pPr>
          <w:pStyle w:val="Footer"/>
          <w:jc w:val="right"/>
        </w:pPr>
        <w:r>
          <w:fldChar w:fldCharType="begin"/>
        </w:r>
        <w:r>
          <w:instrText xml:space="preserve"> PAGE   \* MERGEFORMAT </w:instrText>
        </w:r>
        <w:r>
          <w:fldChar w:fldCharType="separate"/>
        </w:r>
        <w:r w:rsidR="00A47B82">
          <w:rPr>
            <w:noProof/>
          </w:rPr>
          <w:t>16</w:t>
        </w:r>
        <w:r>
          <w:rPr>
            <w:noProof/>
          </w:rPr>
          <w:fldChar w:fldCharType="end"/>
        </w:r>
      </w:p>
    </w:sdtContent>
  </w:sdt>
  <w:p w:rsidR="00BA6065" w:rsidRDefault="00BA6065" w:rsidP="000B6DF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519417"/>
      <w:docPartObj>
        <w:docPartGallery w:val="Page Numbers (Bottom of Page)"/>
        <w:docPartUnique/>
      </w:docPartObj>
    </w:sdtPr>
    <w:sdtEndPr>
      <w:rPr>
        <w:noProof/>
      </w:rPr>
    </w:sdtEndPr>
    <w:sdtContent>
      <w:p w:rsidR="00BA6065" w:rsidRDefault="00BA6065" w:rsidP="000B6DF7">
        <w:pPr>
          <w:pStyle w:val="Footer"/>
        </w:pPr>
        <w:r>
          <w:fldChar w:fldCharType="begin"/>
        </w:r>
        <w:r>
          <w:instrText xml:space="preserve"> PAGE   \* MERGEFORMAT </w:instrText>
        </w:r>
        <w:r>
          <w:fldChar w:fldCharType="separate"/>
        </w:r>
        <w:r w:rsidR="00A47B82">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65" w:rsidRDefault="00BA6065">
      <w:r>
        <w:separator/>
      </w:r>
    </w:p>
  </w:footnote>
  <w:footnote w:type="continuationSeparator" w:id="0">
    <w:p w:rsidR="00BA6065" w:rsidRDefault="00BA6065">
      <w:r>
        <w:continuationSeparator/>
      </w:r>
    </w:p>
  </w:footnote>
  <w:footnote w:id="1">
    <w:p w:rsidR="00BA6065" w:rsidRPr="006D1098" w:rsidRDefault="00BA6065" w:rsidP="006D1098">
      <w:pPr>
        <w:ind w:left="426"/>
        <w:rPr>
          <w:rFonts w:cs="Arial"/>
          <w:sz w:val="18"/>
          <w:szCs w:val="18"/>
        </w:rPr>
      </w:pPr>
      <w:r w:rsidRPr="006D1098">
        <w:rPr>
          <w:rStyle w:val="FootnoteReference"/>
          <w:sz w:val="18"/>
          <w:szCs w:val="18"/>
        </w:rPr>
        <w:footnoteRef/>
      </w:r>
      <w:r w:rsidRPr="006D1098">
        <w:rPr>
          <w:sz w:val="18"/>
          <w:szCs w:val="18"/>
        </w:rPr>
        <w:t xml:space="preserve"> </w:t>
      </w:r>
      <w:r w:rsidRPr="006D1098">
        <w:rPr>
          <w:rFonts w:cs="Arial"/>
          <w:sz w:val="18"/>
          <w:szCs w:val="18"/>
        </w:rPr>
        <w:t xml:space="preserve">The government response to the Review of Food Labelling Law and Policy is available at: </w:t>
      </w:r>
      <w:hyperlink r:id="rId1" w:history="1">
        <w:r w:rsidRPr="006D1098">
          <w:rPr>
            <w:color w:val="0000FF" w:themeColor="hyperlink"/>
            <w:sz w:val="18"/>
            <w:szCs w:val="18"/>
            <w:u w:val="single"/>
            <w:lang w:val="en-AU"/>
          </w:rPr>
          <w:t>http://www.foodlabellingreview.gov.au/internet/foodlabelling/publishing.nsf/content/home</w:t>
        </w:r>
      </w:hyperlink>
    </w:p>
    <w:p w:rsidR="00BA6065" w:rsidRPr="000B6DF7" w:rsidRDefault="00BA6065" w:rsidP="000B6DF7">
      <w:pPr>
        <w:pStyle w:val="FootnoteText"/>
        <w:ind w:left="284"/>
        <w:rPr>
          <w:lang w:val="en-NZ"/>
        </w:rPr>
      </w:pPr>
    </w:p>
  </w:footnote>
  <w:footnote w:id="2">
    <w:p w:rsidR="00BA6065" w:rsidRPr="006D1098" w:rsidRDefault="00BA6065" w:rsidP="006D1098">
      <w:pPr>
        <w:ind w:left="426"/>
        <w:rPr>
          <w:rStyle w:val="Hyperlink"/>
          <w:sz w:val="18"/>
          <w:szCs w:val="18"/>
        </w:rPr>
      </w:pPr>
      <w:r w:rsidRPr="006D1098">
        <w:rPr>
          <w:rStyle w:val="FootnoteReference"/>
          <w:sz w:val="18"/>
          <w:szCs w:val="18"/>
        </w:rPr>
        <w:footnoteRef/>
      </w:r>
      <w:r w:rsidRPr="006D1098">
        <w:rPr>
          <w:sz w:val="18"/>
          <w:szCs w:val="18"/>
        </w:rPr>
        <w:t xml:space="preserve"> The full FSANZ </w:t>
      </w:r>
      <w:r>
        <w:rPr>
          <w:sz w:val="18"/>
          <w:szCs w:val="18"/>
        </w:rPr>
        <w:t xml:space="preserve">review </w:t>
      </w:r>
      <w:r w:rsidRPr="006D1098">
        <w:rPr>
          <w:sz w:val="18"/>
          <w:szCs w:val="18"/>
        </w:rPr>
        <w:t xml:space="preserve">report is available at: </w:t>
      </w:r>
      <w:hyperlink r:id="rId2" w:history="1">
        <w:r w:rsidRPr="006D1098">
          <w:rPr>
            <w:rStyle w:val="Hyperlink"/>
            <w:sz w:val="18"/>
            <w:szCs w:val="18"/>
          </w:rPr>
          <w:t>http://www.foodstandards.gov.au/science/monitoringnutrients/Pages/Monitoring-of-trans-fatty-acids.aspx</w:t>
        </w:r>
      </w:hyperlink>
    </w:p>
    <w:p w:rsidR="00BA6065" w:rsidRPr="000B6DF7" w:rsidRDefault="00BA6065">
      <w:pPr>
        <w:pStyle w:val="FootnoteText"/>
        <w:rPr>
          <w:lang w:val="en-NZ"/>
        </w:rPr>
      </w:pPr>
    </w:p>
  </w:footnote>
  <w:footnote w:id="3">
    <w:p w:rsidR="00BA6065" w:rsidRPr="006D1098" w:rsidRDefault="00BA6065" w:rsidP="006D1098">
      <w:pPr>
        <w:ind w:left="426"/>
        <w:rPr>
          <w:rStyle w:val="Hyperlink"/>
          <w:sz w:val="18"/>
          <w:szCs w:val="18"/>
        </w:rPr>
      </w:pPr>
      <w:r w:rsidRPr="006D1098">
        <w:rPr>
          <w:rStyle w:val="FootnoteReference"/>
          <w:sz w:val="18"/>
          <w:szCs w:val="18"/>
        </w:rPr>
        <w:footnoteRef/>
      </w:r>
      <w:r w:rsidRPr="006D1098">
        <w:rPr>
          <w:sz w:val="18"/>
          <w:szCs w:val="18"/>
        </w:rPr>
        <w:t xml:space="preserve"> The full FSANZ 2009 review report  is available at:  </w:t>
      </w:r>
      <w:hyperlink r:id="rId3" w:history="1">
        <w:r w:rsidRPr="006D1098">
          <w:rPr>
            <w:rStyle w:val="Hyperlink"/>
            <w:sz w:val="18"/>
            <w:szCs w:val="18"/>
          </w:rPr>
          <w:t>http://www.foodstandards.gov.au/science/monitoringnutrients/Pages/Monitoring-of-trans-fatty-acids.aspx</w:t>
        </w:r>
      </w:hyperlink>
    </w:p>
    <w:p w:rsidR="00BA6065" w:rsidRPr="00187960" w:rsidRDefault="00BA6065">
      <w:pPr>
        <w:pStyle w:val="FootnoteText"/>
        <w:rPr>
          <w:lang w:val="en-NZ"/>
        </w:rPr>
      </w:pPr>
    </w:p>
  </w:footnote>
  <w:footnote w:id="4">
    <w:p w:rsidR="00BA6065" w:rsidRPr="00427710" w:rsidRDefault="00BA6065" w:rsidP="00427710">
      <w:pPr>
        <w:pStyle w:val="FootnoteText"/>
        <w:ind w:left="426"/>
        <w:rPr>
          <w:sz w:val="18"/>
          <w:szCs w:val="18"/>
          <w:lang w:val="en-NZ"/>
        </w:rPr>
      </w:pPr>
      <w:r w:rsidRPr="00427710">
        <w:rPr>
          <w:rStyle w:val="FootnoteReference"/>
          <w:sz w:val="18"/>
          <w:szCs w:val="18"/>
        </w:rPr>
        <w:footnoteRef/>
      </w:r>
      <w:r w:rsidRPr="00427710">
        <w:rPr>
          <w:sz w:val="18"/>
          <w:szCs w:val="18"/>
        </w:rPr>
        <w:t xml:space="preserve"> In 2009</w:t>
      </w:r>
      <w:r>
        <w:rPr>
          <w:sz w:val="18"/>
          <w:szCs w:val="18"/>
        </w:rPr>
        <w:t>,</w:t>
      </w:r>
      <w:r w:rsidRPr="00427710">
        <w:rPr>
          <w:sz w:val="18"/>
          <w:szCs w:val="18"/>
        </w:rPr>
        <w:t xml:space="preserve"> </w:t>
      </w:r>
      <w:r w:rsidRPr="00427710">
        <w:rPr>
          <w:sz w:val="18"/>
          <w:szCs w:val="18"/>
          <w:lang w:val="en-NZ"/>
        </w:rPr>
        <w:t>the dietary intake of TFAs was estimated using the Australian 1995 (</w:t>
      </w:r>
      <w:r>
        <w:rPr>
          <w:sz w:val="18"/>
          <w:szCs w:val="18"/>
          <w:lang w:val="en-NZ"/>
        </w:rPr>
        <w:t xml:space="preserve">for </w:t>
      </w:r>
      <w:r w:rsidRPr="00427710">
        <w:rPr>
          <w:sz w:val="18"/>
          <w:szCs w:val="18"/>
          <w:lang w:val="en-NZ"/>
        </w:rPr>
        <w:t>2-16 years and 17 years &amp; above</w:t>
      </w:r>
      <w:r>
        <w:rPr>
          <w:sz w:val="18"/>
          <w:szCs w:val="18"/>
          <w:lang w:val="en-NZ"/>
        </w:rPr>
        <w:t xml:space="preserve"> groups</w:t>
      </w:r>
      <w:r w:rsidRPr="00427710">
        <w:rPr>
          <w:sz w:val="18"/>
          <w:szCs w:val="18"/>
          <w:lang w:val="en-NZ"/>
        </w:rPr>
        <w:t>) and 2007 (</w:t>
      </w:r>
      <w:r>
        <w:rPr>
          <w:sz w:val="18"/>
          <w:szCs w:val="18"/>
          <w:lang w:val="en-NZ"/>
        </w:rPr>
        <w:t xml:space="preserve">for </w:t>
      </w:r>
      <w:r w:rsidRPr="00427710">
        <w:rPr>
          <w:sz w:val="18"/>
          <w:szCs w:val="18"/>
          <w:lang w:val="en-NZ"/>
        </w:rPr>
        <w:t>2-16 years) National Nutrition Surveys, and the New Zealand 1997 (</w:t>
      </w:r>
      <w:r>
        <w:rPr>
          <w:sz w:val="18"/>
          <w:szCs w:val="18"/>
          <w:lang w:val="en-NZ"/>
        </w:rPr>
        <w:t xml:space="preserve">for </w:t>
      </w:r>
      <w:r w:rsidRPr="00427710">
        <w:rPr>
          <w:sz w:val="18"/>
          <w:szCs w:val="18"/>
          <w:lang w:val="en-NZ"/>
        </w:rPr>
        <w:t>15 years &amp; above) and 2002 (</w:t>
      </w:r>
      <w:r>
        <w:rPr>
          <w:sz w:val="18"/>
          <w:szCs w:val="18"/>
          <w:lang w:val="en-NZ"/>
        </w:rPr>
        <w:t xml:space="preserve">for </w:t>
      </w:r>
      <w:r w:rsidRPr="00427710">
        <w:rPr>
          <w:sz w:val="18"/>
          <w:szCs w:val="18"/>
          <w:lang w:val="en-NZ"/>
        </w:rPr>
        <w:t>5-14 ye</w:t>
      </w:r>
      <w:r>
        <w:rPr>
          <w:sz w:val="18"/>
          <w:szCs w:val="18"/>
          <w:lang w:val="en-NZ"/>
        </w:rPr>
        <w:t>ars) National Nutrition Surveys</w:t>
      </w:r>
      <w:r w:rsidRPr="00427710">
        <w:rPr>
          <w:sz w:val="18"/>
          <w:szCs w:val="18"/>
          <w:lang w:val="en-NZ"/>
        </w:rPr>
        <w:t>.</w:t>
      </w:r>
      <w:r>
        <w:rPr>
          <w:sz w:val="18"/>
          <w:szCs w:val="18"/>
          <w:lang w:val="en-NZ"/>
        </w:rPr>
        <w:t xml:space="preserve"> Updated consumption data for New Zealand are not yet available for dietary exposure modelling purposes.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65" w:rsidRPr="00000DF7" w:rsidRDefault="00BA6065" w:rsidP="00000DF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65" w:rsidRDefault="00BA6065">
    <w:pPr>
      <w:pStyle w:val="Header"/>
      <w:jc w:val="center"/>
      <w:rPr>
        <w:b/>
        <w:bCs/>
      </w:rPr>
    </w:pPr>
    <w:r>
      <w:rPr>
        <w:b/>
        <w:bCs/>
      </w:rPr>
      <w:t>BOARD-IN-CONFIDENCE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65" w:rsidRDefault="00BA6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55AC3"/>
    <w:multiLevelType w:val="hybridMultilevel"/>
    <w:tmpl w:val="76AA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544601"/>
    <w:multiLevelType w:val="hybridMultilevel"/>
    <w:tmpl w:val="B9D834FE"/>
    <w:lvl w:ilvl="0" w:tplc="F61E7C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9A3A44"/>
    <w:multiLevelType w:val="hybridMultilevel"/>
    <w:tmpl w:val="6F6C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6208BA"/>
    <w:multiLevelType w:val="hybridMultilevel"/>
    <w:tmpl w:val="FF6C7834"/>
    <w:lvl w:ilvl="0" w:tplc="A8AE964A">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
    <w:nsid w:val="09083A8F"/>
    <w:multiLevelType w:val="hybridMultilevel"/>
    <w:tmpl w:val="5DFAA1E0"/>
    <w:lvl w:ilvl="0" w:tplc="A8AE964A">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nsid w:val="0E5B612E"/>
    <w:multiLevelType w:val="hybridMultilevel"/>
    <w:tmpl w:val="B8646BB8"/>
    <w:lvl w:ilvl="0" w:tplc="F61E7C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B292654"/>
    <w:multiLevelType w:val="hybridMultilevel"/>
    <w:tmpl w:val="2B303B6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84313B"/>
    <w:multiLevelType w:val="hybridMultilevel"/>
    <w:tmpl w:val="DE562BD0"/>
    <w:lvl w:ilvl="0" w:tplc="A8AE964A">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1">
    <w:nsid w:val="20AB71F6"/>
    <w:multiLevelType w:val="hybridMultilevel"/>
    <w:tmpl w:val="8A148114"/>
    <w:lvl w:ilvl="0" w:tplc="A8AE964A">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E8049C"/>
    <w:multiLevelType w:val="hybridMultilevel"/>
    <w:tmpl w:val="2B7A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7E47AF"/>
    <w:multiLevelType w:val="hybridMultilevel"/>
    <w:tmpl w:val="A51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2E2C99"/>
    <w:multiLevelType w:val="hybridMultilevel"/>
    <w:tmpl w:val="9E9648F4"/>
    <w:lvl w:ilvl="0" w:tplc="08090001">
      <w:start w:val="1"/>
      <w:numFmt w:val="bullet"/>
      <w:lvlText w:val=""/>
      <w:lvlJc w:val="left"/>
      <w:pPr>
        <w:ind w:left="720" w:hanging="360"/>
      </w:pPr>
      <w:rPr>
        <w:rFonts w:ascii="Symbol" w:hAnsi="Symbol" w:hint="default"/>
      </w:rPr>
    </w:lvl>
    <w:lvl w:ilvl="1" w:tplc="4F303B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FB4548"/>
    <w:multiLevelType w:val="hybridMultilevel"/>
    <w:tmpl w:val="004A5A6E"/>
    <w:lvl w:ilvl="0" w:tplc="8C04FA44">
      <w:numFmt w:val="bullet"/>
      <w:pStyle w:val="Heading2"/>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3A0CE1"/>
    <w:multiLevelType w:val="hybridMultilevel"/>
    <w:tmpl w:val="7B26D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464F0D24"/>
    <w:multiLevelType w:val="hybridMultilevel"/>
    <w:tmpl w:val="A31601E2"/>
    <w:lvl w:ilvl="0" w:tplc="A8AE964A">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nsid w:val="4A723A40"/>
    <w:multiLevelType w:val="hybridMultilevel"/>
    <w:tmpl w:val="D4BA5DCC"/>
    <w:lvl w:ilvl="0" w:tplc="A8AE964A">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nsid w:val="50576F37"/>
    <w:multiLevelType w:val="hybridMultilevel"/>
    <w:tmpl w:val="6A7A3D3A"/>
    <w:lvl w:ilvl="0" w:tplc="4A20FA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5924A3"/>
    <w:multiLevelType w:val="hybridMultilevel"/>
    <w:tmpl w:val="62561B9C"/>
    <w:lvl w:ilvl="0" w:tplc="F61E7C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AF1CC3"/>
    <w:multiLevelType w:val="hybridMultilevel"/>
    <w:tmpl w:val="2DE0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F248CA"/>
    <w:multiLevelType w:val="hybridMultilevel"/>
    <w:tmpl w:val="585E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995089"/>
    <w:multiLevelType w:val="hybridMultilevel"/>
    <w:tmpl w:val="98F4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371871"/>
    <w:multiLevelType w:val="hybridMultilevel"/>
    <w:tmpl w:val="9442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241E88"/>
    <w:multiLevelType w:val="hybridMultilevel"/>
    <w:tmpl w:val="E07A6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EF91F46"/>
    <w:multiLevelType w:val="hybridMultilevel"/>
    <w:tmpl w:val="3C6A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8"/>
  </w:num>
  <w:num w:numId="4">
    <w:abstractNumId w:val="7"/>
  </w:num>
  <w:num w:numId="5">
    <w:abstractNumId w:val="23"/>
  </w:num>
  <w:num w:numId="6">
    <w:abstractNumId w:val="22"/>
  </w:num>
  <w:num w:numId="7">
    <w:abstractNumId w:val="6"/>
  </w:num>
  <w:num w:numId="8">
    <w:abstractNumId w:val="2"/>
  </w:num>
  <w:num w:numId="9">
    <w:abstractNumId w:val="16"/>
  </w:num>
  <w:num w:numId="10">
    <w:abstractNumId w:val="26"/>
  </w:num>
  <w:num w:numId="11">
    <w:abstractNumId w:val="17"/>
  </w:num>
  <w:num w:numId="12">
    <w:abstractNumId w:val="8"/>
  </w:num>
  <w:num w:numId="13">
    <w:abstractNumId w:val="3"/>
  </w:num>
  <w:num w:numId="14">
    <w:abstractNumId w:val="1"/>
  </w:num>
  <w:num w:numId="15">
    <w:abstractNumId w:val="28"/>
  </w:num>
  <w:num w:numId="16">
    <w:abstractNumId w:val="14"/>
  </w:num>
  <w:num w:numId="17">
    <w:abstractNumId w:val="21"/>
  </w:num>
  <w:num w:numId="18">
    <w:abstractNumId w:val="25"/>
  </w:num>
  <w:num w:numId="19">
    <w:abstractNumId w:val="13"/>
  </w:num>
  <w:num w:numId="20">
    <w:abstractNumId w:val="11"/>
  </w:num>
  <w:num w:numId="21">
    <w:abstractNumId w:val="19"/>
  </w:num>
  <w:num w:numId="22">
    <w:abstractNumId w:val="5"/>
  </w:num>
  <w:num w:numId="23">
    <w:abstractNumId w:val="4"/>
  </w:num>
  <w:num w:numId="24">
    <w:abstractNumId w:val="20"/>
  </w:num>
  <w:num w:numId="25">
    <w:abstractNumId w:val="10"/>
  </w:num>
  <w:num w:numId="26">
    <w:abstractNumId w:val="9"/>
  </w:num>
  <w:num w:numId="27">
    <w:abstractNumId w:val="15"/>
  </w:num>
  <w:num w:numId="28">
    <w:abstractNumId w:val="27"/>
  </w:num>
  <w:num w:numId="2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DF7"/>
    <w:rsid w:val="00001CF2"/>
    <w:rsid w:val="0000247B"/>
    <w:rsid w:val="000033FB"/>
    <w:rsid w:val="0000469B"/>
    <w:rsid w:val="00017A45"/>
    <w:rsid w:val="00023BA5"/>
    <w:rsid w:val="00035FF3"/>
    <w:rsid w:val="00051021"/>
    <w:rsid w:val="000515E0"/>
    <w:rsid w:val="00051ED9"/>
    <w:rsid w:val="000540F2"/>
    <w:rsid w:val="000542A8"/>
    <w:rsid w:val="00057181"/>
    <w:rsid w:val="00057A62"/>
    <w:rsid w:val="0006473A"/>
    <w:rsid w:val="00064B2D"/>
    <w:rsid w:val="00065C25"/>
    <w:rsid w:val="00065F1F"/>
    <w:rsid w:val="00076D33"/>
    <w:rsid w:val="00085A0B"/>
    <w:rsid w:val="00092CDA"/>
    <w:rsid w:val="000A27E9"/>
    <w:rsid w:val="000A3146"/>
    <w:rsid w:val="000A38C0"/>
    <w:rsid w:val="000A3D8B"/>
    <w:rsid w:val="000A5DF8"/>
    <w:rsid w:val="000B0681"/>
    <w:rsid w:val="000B27E7"/>
    <w:rsid w:val="000B65F2"/>
    <w:rsid w:val="000B6AF2"/>
    <w:rsid w:val="000B6DF7"/>
    <w:rsid w:val="000C3C8F"/>
    <w:rsid w:val="000C6DD4"/>
    <w:rsid w:val="000D6FD4"/>
    <w:rsid w:val="000E0AE4"/>
    <w:rsid w:val="000E3DBC"/>
    <w:rsid w:val="000E4128"/>
    <w:rsid w:val="000F690C"/>
    <w:rsid w:val="00113CE3"/>
    <w:rsid w:val="001142EB"/>
    <w:rsid w:val="00115092"/>
    <w:rsid w:val="00117522"/>
    <w:rsid w:val="00124550"/>
    <w:rsid w:val="001463D5"/>
    <w:rsid w:val="001542D8"/>
    <w:rsid w:val="00156836"/>
    <w:rsid w:val="00173921"/>
    <w:rsid w:val="001776B6"/>
    <w:rsid w:val="00180C41"/>
    <w:rsid w:val="00182C4C"/>
    <w:rsid w:val="00187960"/>
    <w:rsid w:val="001950CB"/>
    <w:rsid w:val="00197D8D"/>
    <w:rsid w:val="001A1A75"/>
    <w:rsid w:val="001A3991"/>
    <w:rsid w:val="001A7E9A"/>
    <w:rsid w:val="001B5D9A"/>
    <w:rsid w:val="001C27A3"/>
    <w:rsid w:val="001C5295"/>
    <w:rsid w:val="001D0FBF"/>
    <w:rsid w:val="001D744A"/>
    <w:rsid w:val="001E09FA"/>
    <w:rsid w:val="001E60A6"/>
    <w:rsid w:val="001E6CF9"/>
    <w:rsid w:val="00202A4E"/>
    <w:rsid w:val="00203540"/>
    <w:rsid w:val="0021612B"/>
    <w:rsid w:val="0022083A"/>
    <w:rsid w:val="00221D07"/>
    <w:rsid w:val="00222F64"/>
    <w:rsid w:val="00224058"/>
    <w:rsid w:val="00227E4A"/>
    <w:rsid w:val="00231585"/>
    <w:rsid w:val="00242961"/>
    <w:rsid w:val="002437C2"/>
    <w:rsid w:val="0024582E"/>
    <w:rsid w:val="00245C56"/>
    <w:rsid w:val="00251281"/>
    <w:rsid w:val="002547EF"/>
    <w:rsid w:val="00254B56"/>
    <w:rsid w:val="00256D65"/>
    <w:rsid w:val="0026479A"/>
    <w:rsid w:val="00270307"/>
    <w:rsid w:val="00271F00"/>
    <w:rsid w:val="00273A80"/>
    <w:rsid w:val="00277D43"/>
    <w:rsid w:val="0028119C"/>
    <w:rsid w:val="002867E4"/>
    <w:rsid w:val="0029204E"/>
    <w:rsid w:val="0029631C"/>
    <w:rsid w:val="002A0194"/>
    <w:rsid w:val="002A1A8B"/>
    <w:rsid w:val="002A5F8B"/>
    <w:rsid w:val="002A7F6C"/>
    <w:rsid w:val="002B5A72"/>
    <w:rsid w:val="002C1CF2"/>
    <w:rsid w:val="002C4DFE"/>
    <w:rsid w:val="002D6809"/>
    <w:rsid w:val="002F19F1"/>
    <w:rsid w:val="002F6488"/>
    <w:rsid w:val="002F6A92"/>
    <w:rsid w:val="0030443C"/>
    <w:rsid w:val="00304B95"/>
    <w:rsid w:val="00320839"/>
    <w:rsid w:val="003213F9"/>
    <w:rsid w:val="00323DBF"/>
    <w:rsid w:val="003309A8"/>
    <w:rsid w:val="00330AF6"/>
    <w:rsid w:val="00332B12"/>
    <w:rsid w:val="00333827"/>
    <w:rsid w:val="00345944"/>
    <w:rsid w:val="00347827"/>
    <w:rsid w:val="003511AE"/>
    <w:rsid w:val="00351B07"/>
    <w:rsid w:val="00352CF2"/>
    <w:rsid w:val="003543E2"/>
    <w:rsid w:val="00364841"/>
    <w:rsid w:val="00371B29"/>
    <w:rsid w:val="0037656B"/>
    <w:rsid w:val="003866D3"/>
    <w:rsid w:val="00391769"/>
    <w:rsid w:val="003953E1"/>
    <w:rsid w:val="003956B3"/>
    <w:rsid w:val="003A68BE"/>
    <w:rsid w:val="003B13B0"/>
    <w:rsid w:val="003B1805"/>
    <w:rsid w:val="003B3C9D"/>
    <w:rsid w:val="003B78E0"/>
    <w:rsid w:val="003C13E6"/>
    <w:rsid w:val="003C1413"/>
    <w:rsid w:val="003C4969"/>
    <w:rsid w:val="003E41D5"/>
    <w:rsid w:val="003E46BA"/>
    <w:rsid w:val="003E7D22"/>
    <w:rsid w:val="003F74C1"/>
    <w:rsid w:val="00405B1A"/>
    <w:rsid w:val="00406B87"/>
    <w:rsid w:val="00410C76"/>
    <w:rsid w:val="00411907"/>
    <w:rsid w:val="00413CA8"/>
    <w:rsid w:val="0041774D"/>
    <w:rsid w:val="00417EE3"/>
    <w:rsid w:val="004207EB"/>
    <w:rsid w:val="0042262B"/>
    <w:rsid w:val="00427710"/>
    <w:rsid w:val="00430460"/>
    <w:rsid w:val="00437276"/>
    <w:rsid w:val="00451A07"/>
    <w:rsid w:val="00456B54"/>
    <w:rsid w:val="00457BAE"/>
    <w:rsid w:val="004644F6"/>
    <w:rsid w:val="00464643"/>
    <w:rsid w:val="00471925"/>
    <w:rsid w:val="004736B4"/>
    <w:rsid w:val="00477BC6"/>
    <w:rsid w:val="00486793"/>
    <w:rsid w:val="00490758"/>
    <w:rsid w:val="00493067"/>
    <w:rsid w:val="004A2037"/>
    <w:rsid w:val="004A3B4D"/>
    <w:rsid w:val="004B69D4"/>
    <w:rsid w:val="004C2CE7"/>
    <w:rsid w:val="004C3875"/>
    <w:rsid w:val="004E4ECE"/>
    <w:rsid w:val="004E77AD"/>
    <w:rsid w:val="004F4F98"/>
    <w:rsid w:val="004F69F6"/>
    <w:rsid w:val="004F79AC"/>
    <w:rsid w:val="0050138E"/>
    <w:rsid w:val="005017CF"/>
    <w:rsid w:val="005207D8"/>
    <w:rsid w:val="0053464E"/>
    <w:rsid w:val="00562917"/>
    <w:rsid w:val="005714AF"/>
    <w:rsid w:val="00582EE3"/>
    <w:rsid w:val="00586228"/>
    <w:rsid w:val="005A1D97"/>
    <w:rsid w:val="005B6AF4"/>
    <w:rsid w:val="005B7A73"/>
    <w:rsid w:val="005C04CB"/>
    <w:rsid w:val="005D16AD"/>
    <w:rsid w:val="005D43AB"/>
    <w:rsid w:val="005D72E1"/>
    <w:rsid w:val="005E5F1C"/>
    <w:rsid w:val="005E6E16"/>
    <w:rsid w:val="005F2253"/>
    <w:rsid w:val="005F400E"/>
    <w:rsid w:val="005F7342"/>
    <w:rsid w:val="00603A08"/>
    <w:rsid w:val="00610A3C"/>
    <w:rsid w:val="00611100"/>
    <w:rsid w:val="00620AB0"/>
    <w:rsid w:val="006250F5"/>
    <w:rsid w:val="00627232"/>
    <w:rsid w:val="00627F48"/>
    <w:rsid w:val="00630C23"/>
    <w:rsid w:val="00633C75"/>
    <w:rsid w:val="006403AF"/>
    <w:rsid w:val="00640494"/>
    <w:rsid w:val="00642E94"/>
    <w:rsid w:val="006445A5"/>
    <w:rsid w:val="006446E4"/>
    <w:rsid w:val="006460AB"/>
    <w:rsid w:val="00657276"/>
    <w:rsid w:val="006608CC"/>
    <w:rsid w:val="006617A3"/>
    <w:rsid w:val="00663FCF"/>
    <w:rsid w:val="006652A2"/>
    <w:rsid w:val="00674331"/>
    <w:rsid w:val="00675AA7"/>
    <w:rsid w:val="00686714"/>
    <w:rsid w:val="00690206"/>
    <w:rsid w:val="006937FF"/>
    <w:rsid w:val="006A1F64"/>
    <w:rsid w:val="006A48A7"/>
    <w:rsid w:val="006B4BA1"/>
    <w:rsid w:val="006B5EBE"/>
    <w:rsid w:val="006C5CF5"/>
    <w:rsid w:val="006D1098"/>
    <w:rsid w:val="006E63B7"/>
    <w:rsid w:val="006F4A82"/>
    <w:rsid w:val="0070373B"/>
    <w:rsid w:val="0070594D"/>
    <w:rsid w:val="00724FA4"/>
    <w:rsid w:val="00730800"/>
    <w:rsid w:val="00734ACB"/>
    <w:rsid w:val="007415EE"/>
    <w:rsid w:val="00752239"/>
    <w:rsid w:val="00757662"/>
    <w:rsid w:val="007602AA"/>
    <w:rsid w:val="007604B8"/>
    <w:rsid w:val="00763B60"/>
    <w:rsid w:val="007652EF"/>
    <w:rsid w:val="0076770E"/>
    <w:rsid w:val="0077155B"/>
    <w:rsid w:val="00772BDC"/>
    <w:rsid w:val="00780792"/>
    <w:rsid w:val="007912BB"/>
    <w:rsid w:val="007A44B4"/>
    <w:rsid w:val="007A7D3D"/>
    <w:rsid w:val="007B221B"/>
    <w:rsid w:val="007B225D"/>
    <w:rsid w:val="007B7B82"/>
    <w:rsid w:val="007C174F"/>
    <w:rsid w:val="007C1C64"/>
    <w:rsid w:val="007D03EA"/>
    <w:rsid w:val="007E2428"/>
    <w:rsid w:val="007E48BC"/>
    <w:rsid w:val="007E79F7"/>
    <w:rsid w:val="007F3630"/>
    <w:rsid w:val="007F55C9"/>
    <w:rsid w:val="00807559"/>
    <w:rsid w:val="008450BC"/>
    <w:rsid w:val="00850553"/>
    <w:rsid w:val="0085334B"/>
    <w:rsid w:val="00854001"/>
    <w:rsid w:val="00864CC0"/>
    <w:rsid w:val="00870214"/>
    <w:rsid w:val="00870C90"/>
    <w:rsid w:val="008741FF"/>
    <w:rsid w:val="00885C51"/>
    <w:rsid w:val="00885EB0"/>
    <w:rsid w:val="00891F4B"/>
    <w:rsid w:val="0089264A"/>
    <w:rsid w:val="00896B85"/>
    <w:rsid w:val="008A22BE"/>
    <w:rsid w:val="008A7A91"/>
    <w:rsid w:val="008B57D4"/>
    <w:rsid w:val="008B5D1F"/>
    <w:rsid w:val="008C1B36"/>
    <w:rsid w:val="008D06C6"/>
    <w:rsid w:val="008D6626"/>
    <w:rsid w:val="008E0B2A"/>
    <w:rsid w:val="008E314D"/>
    <w:rsid w:val="008E6250"/>
    <w:rsid w:val="008F1B5B"/>
    <w:rsid w:val="008F62AA"/>
    <w:rsid w:val="0090183C"/>
    <w:rsid w:val="00902AF6"/>
    <w:rsid w:val="00907161"/>
    <w:rsid w:val="009076B5"/>
    <w:rsid w:val="00912B22"/>
    <w:rsid w:val="00914898"/>
    <w:rsid w:val="00920249"/>
    <w:rsid w:val="009239C3"/>
    <w:rsid w:val="00924C80"/>
    <w:rsid w:val="00932F14"/>
    <w:rsid w:val="009365BA"/>
    <w:rsid w:val="0094247F"/>
    <w:rsid w:val="00942D60"/>
    <w:rsid w:val="00960415"/>
    <w:rsid w:val="00964A6E"/>
    <w:rsid w:val="0096523B"/>
    <w:rsid w:val="00966EE3"/>
    <w:rsid w:val="009718C3"/>
    <w:rsid w:val="00971D4F"/>
    <w:rsid w:val="00972D06"/>
    <w:rsid w:val="0098571E"/>
    <w:rsid w:val="00986CC3"/>
    <w:rsid w:val="0099467A"/>
    <w:rsid w:val="00997A2F"/>
    <w:rsid w:val="009A18EA"/>
    <w:rsid w:val="009A391C"/>
    <w:rsid w:val="009A50F2"/>
    <w:rsid w:val="009C088B"/>
    <w:rsid w:val="009C39A4"/>
    <w:rsid w:val="009D088C"/>
    <w:rsid w:val="009D0A68"/>
    <w:rsid w:val="009D361C"/>
    <w:rsid w:val="009E0A61"/>
    <w:rsid w:val="009E3010"/>
    <w:rsid w:val="009E531A"/>
    <w:rsid w:val="009F007E"/>
    <w:rsid w:val="009F0355"/>
    <w:rsid w:val="009F7065"/>
    <w:rsid w:val="00A02C1A"/>
    <w:rsid w:val="00A02D6E"/>
    <w:rsid w:val="00A10319"/>
    <w:rsid w:val="00A10C20"/>
    <w:rsid w:val="00A361E2"/>
    <w:rsid w:val="00A4175D"/>
    <w:rsid w:val="00A47B82"/>
    <w:rsid w:val="00A5479A"/>
    <w:rsid w:val="00A56DC7"/>
    <w:rsid w:val="00A71992"/>
    <w:rsid w:val="00A74FD1"/>
    <w:rsid w:val="00A84A58"/>
    <w:rsid w:val="00A91CFF"/>
    <w:rsid w:val="00AB3132"/>
    <w:rsid w:val="00AB7A2D"/>
    <w:rsid w:val="00AC06C0"/>
    <w:rsid w:val="00AF06FC"/>
    <w:rsid w:val="00AF3391"/>
    <w:rsid w:val="00AF387F"/>
    <w:rsid w:val="00AF4CB8"/>
    <w:rsid w:val="00B00E7F"/>
    <w:rsid w:val="00B05F84"/>
    <w:rsid w:val="00B12F1E"/>
    <w:rsid w:val="00B16071"/>
    <w:rsid w:val="00B16C37"/>
    <w:rsid w:val="00B173DA"/>
    <w:rsid w:val="00B21DCC"/>
    <w:rsid w:val="00B25F37"/>
    <w:rsid w:val="00B32BDA"/>
    <w:rsid w:val="00B37BF0"/>
    <w:rsid w:val="00B44422"/>
    <w:rsid w:val="00B46EA0"/>
    <w:rsid w:val="00B563BA"/>
    <w:rsid w:val="00B7048C"/>
    <w:rsid w:val="00B731D3"/>
    <w:rsid w:val="00B75E6C"/>
    <w:rsid w:val="00B839A3"/>
    <w:rsid w:val="00B87BB2"/>
    <w:rsid w:val="00B902BD"/>
    <w:rsid w:val="00B90877"/>
    <w:rsid w:val="00BA2139"/>
    <w:rsid w:val="00BA24E2"/>
    <w:rsid w:val="00BA4AC0"/>
    <w:rsid w:val="00BA6065"/>
    <w:rsid w:val="00BC7DF7"/>
    <w:rsid w:val="00BD2A39"/>
    <w:rsid w:val="00BD2E80"/>
    <w:rsid w:val="00BE11B8"/>
    <w:rsid w:val="00BF1E9A"/>
    <w:rsid w:val="00BF7FF0"/>
    <w:rsid w:val="00C02E0B"/>
    <w:rsid w:val="00C052C0"/>
    <w:rsid w:val="00C057F4"/>
    <w:rsid w:val="00C12502"/>
    <w:rsid w:val="00C36578"/>
    <w:rsid w:val="00C40AA5"/>
    <w:rsid w:val="00C46EDD"/>
    <w:rsid w:val="00C46F70"/>
    <w:rsid w:val="00C476D0"/>
    <w:rsid w:val="00C53287"/>
    <w:rsid w:val="00C61AC1"/>
    <w:rsid w:val="00C8206F"/>
    <w:rsid w:val="00C836E3"/>
    <w:rsid w:val="00C83DB8"/>
    <w:rsid w:val="00C861B9"/>
    <w:rsid w:val="00C86577"/>
    <w:rsid w:val="00C92E07"/>
    <w:rsid w:val="00C96868"/>
    <w:rsid w:val="00CA0416"/>
    <w:rsid w:val="00CA49C4"/>
    <w:rsid w:val="00CB5BAB"/>
    <w:rsid w:val="00CC560B"/>
    <w:rsid w:val="00CC75E2"/>
    <w:rsid w:val="00CD46EB"/>
    <w:rsid w:val="00CD7EBF"/>
    <w:rsid w:val="00CF1087"/>
    <w:rsid w:val="00CF3D63"/>
    <w:rsid w:val="00D056F1"/>
    <w:rsid w:val="00D11171"/>
    <w:rsid w:val="00D22F3C"/>
    <w:rsid w:val="00D23DB6"/>
    <w:rsid w:val="00D3761F"/>
    <w:rsid w:val="00D405DF"/>
    <w:rsid w:val="00D43FE6"/>
    <w:rsid w:val="00D45853"/>
    <w:rsid w:val="00D51A95"/>
    <w:rsid w:val="00D60568"/>
    <w:rsid w:val="00D65247"/>
    <w:rsid w:val="00D70B49"/>
    <w:rsid w:val="00D70C7A"/>
    <w:rsid w:val="00D81D38"/>
    <w:rsid w:val="00DA10A8"/>
    <w:rsid w:val="00DA24C2"/>
    <w:rsid w:val="00DB0E40"/>
    <w:rsid w:val="00DB1E08"/>
    <w:rsid w:val="00DB2973"/>
    <w:rsid w:val="00DB35B2"/>
    <w:rsid w:val="00DC08C2"/>
    <w:rsid w:val="00DC1B56"/>
    <w:rsid w:val="00DC2129"/>
    <w:rsid w:val="00DC5880"/>
    <w:rsid w:val="00DC6570"/>
    <w:rsid w:val="00DD2F9B"/>
    <w:rsid w:val="00DD3C5E"/>
    <w:rsid w:val="00DD48AB"/>
    <w:rsid w:val="00DD7796"/>
    <w:rsid w:val="00DE5E95"/>
    <w:rsid w:val="00DE7485"/>
    <w:rsid w:val="00DF25C3"/>
    <w:rsid w:val="00DF5914"/>
    <w:rsid w:val="00E006A2"/>
    <w:rsid w:val="00E04062"/>
    <w:rsid w:val="00E04CF1"/>
    <w:rsid w:val="00E063C6"/>
    <w:rsid w:val="00E066BA"/>
    <w:rsid w:val="00E067B6"/>
    <w:rsid w:val="00E11A9D"/>
    <w:rsid w:val="00E2003B"/>
    <w:rsid w:val="00E203C2"/>
    <w:rsid w:val="00E25F2A"/>
    <w:rsid w:val="00E279D8"/>
    <w:rsid w:val="00E319B1"/>
    <w:rsid w:val="00E36160"/>
    <w:rsid w:val="00E36A4A"/>
    <w:rsid w:val="00E44E0D"/>
    <w:rsid w:val="00E5492F"/>
    <w:rsid w:val="00E62DEF"/>
    <w:rsid w:val="00E70A86"/>
    <w:rsid w:val="00E777EC"/>
    <w:rsid w:val="00E80FCD"/>
    <w:rsid w:val="00E837C3"/>
    <w:rsid w:val="00E92D4D"/>
    <w:rsid w:val="00EA7F2F"/>
    <w:rsid w:val="00EB2F3F"/>
    <w:rsid w:val="00EC00DE"/>
    <w:rsid w:val="00EC30E1"/>
    <w:rsid w:val="00ED172A"/>
    <w:rsid w:val="00ED6039"/>
    <w:rsid w:val="00EF39D5"/>
    <w:rsid w:val="00EF41C7"/>
    <w:rsid w:val="00F07D0C"/>
    <w:rsid w:val="00F10AA4"/>
    <w:rsid w:val="00F11F6C"/>
    <w:rsid w:val="00F14BEC"/>
    <w:rsid w:val="00F15909"/>
    <w:rsid w:val="00F202D0"/>
    <w:rsid w:val="00F21A7D"/>
    <w:rsid w:val="00F225C5"/>
    <w:rsid w:val="00F2587A"/>
    <w:rsid w:val="00F34598"/>
    <w:rsid w:val="00F3715D"/>
    <w:rsid w:val="00F420C8"/>
    <w:rsid w:val="00F42A4C"/>
    <w:rsid w:val="00F477F5"/>
    <w:rsid w:val="00F5623B"/>
    <w:rsid w:val="00F56291"/>
    <w:rsid w:val="00F6020F"/>
    <w:rsid w:val="00F604DE"/>
    <w:rsid w:val="00F6057B"/>
    <w:rsid w:val="00F74FF8"/>
    <w:rsid w:val="00F77ACE"/>
    <w:rsid w:val="00F84126"/>
    <w:rsid w:val="00F95649"/>
    <w:rsid w:val="00FA7825"/>
    <w:rsid w:val="00FB01FC"/>
    <w:rsid w:val="00FB7512"/>
    <w:rsid w:val="00FC29E4"/>
    <w:rsid w:val="00FD3A60"/>
    <w:rsid w:val="00FD7547"/>
    <w:rsid w:val="00FE507D"/>
    <w:rsid w:val="00FE65D1"/>
    <w:rsid w:val="00FF3FB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header" w:qFormat="1"/>
    <w:lsdException w:name="footer" w:uiPriority="99" w:qFormat="1"/>
    <w:lsdException w:name="caption" w:semiHidden="1" w:unhideWhenUsed="1"/>
    <w:lsdException w:name="footnote reference" w:uiPriority="99"/>
    <w:lsdException w:name="endnote reference" w:uiPriority="99"/>
    <w:lsdException w:name="endnote text" w:uiPriority="99"/>
    <w:lsdException w:name="Title" w:uiPriority="10"/>
    <w:lsdException w:name="Subtitle" w:uiPriority="11"/>
    <w:lsdException w:name="Hyperlink" w:uiPriority="99"/>
    <w:lsdException w:name="FollowedHyperlink" w:uiPriority="99"/>
    <w:lsdException w:name="Strong" w:uiPriority="22"/>
    <w:lsdException w:name="Emphasis" w:uiPriority="20"/>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8E314D"/>
    <w:pPr>
      <w:keepNext/>
      <w:numPr>
        <w:numId w:val="9"/>
      </w:numPr>
      <w:spacing w:before="240" w:after="240"/>
      <w:outlineLvl w:val="1"/>
    </w:pPr>
    <w:rPr>
      <w:rFonts w:cs="Arial"/>
      <w:bCs/>
      <w:szCs w:val="22"/>
      <w:lang w:bidi="ar-SA"/>
    </w:rPr>
  </w:style>
  <w:style w:type="paragraph" w:styleId="Heading3">
    <w:name w:val="heading 3"/>
    <w:aliases w:val="FSHeading 3,Subheading 1"/>
    <w:basedOn w:val="Normal"/>
    <w:next w:val="Normal"/>
    <w:link w:val="Heading3Char"/>
    <w:autoRedefine/>
    <w:uiPriority w:val="2"/>
    <w:unhideWhenUsed/>
    <w:qFormat/>
    <w:rsid w:val="00C052C0"/>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8E314D"/>
    <w:rPr>
      <w:rFonts w:ascii="Arial" w:hAnsi="Arial" w:cs="Arial"/>
      <w:bCs/>
      <w:sz w:val="22"/>
      <w:szCs w:val="22"/>
      <w:lang w:eastAsia="en-US"/>
    </w:rPr>
  </w:style>
  <w:style w:type="character" w:customStyle="1" w:styleId="Heading3Char">
    <w:name w:val="Heading 3 Char"/>
    <w:aliases w:val="FSHeading 3 Char,Subheading 1 Char"/>
    <w:link w:val="Heading3"/>
    <w:uiPriority w:val="2"/>
    <w:rsid w:val="00C052C0"/>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E837C3"/>
    <w:pPr>
      <w:spacing w:before="120" w:after="120"/>
      <w:ind w:left="567" w:hanging="567"/>
    </w:pPr>
    <w:rPr>
      <w:rFonts w:cstheme="minorHAnsi"/>
      <w:b/>
      <w:bCs/>
      <w:caps/>
      <w:sz w:val="20"/>
      <w:szCs w:val="20"/>
    </w:rPr>
  </w:style>
  <w:style w:type="paragraph" w:styleId="TOC2">
    <w:name w:val="toc 2"/>
    <w:basedOn w:val="Normal"/>
    <w:next w:val="Normal"/>
    <w:autoRedefine/>
    <w:uiPriority w:val="39"/>
    <w:rsid w:val="00E837C3"/>
    <w:pPr>
      <w:spacing w:after="120"/>
      <w:ind w:left="1134" w:right="284" w:hanging="567"/>
    </w:pPr>
    <w:rPr>
      <w:rFonts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6DF7"/>
    <w:rPr>
      <w:rFonts w:ascii="Arial" w:hAnsi="Arial"/>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uiPriority w:val="22"/>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pPr>
      <w:tabs>
        <w:tab w:val="left" w:pos="851"/>
      </w:tabs>
    </w:pPr>
    <w:rPr>
      <w:szCs w:val="20"/>
    </w:rPr>
  </w:style>
  <w:style w:type="character" w:customStyle="1" w:styleId="ClauseChar">
    <w:name w:val="Clause Char"/>
    <w:basedOn w:val="DefaultParagraphFont"/>
    <w:link w:val="Clause"/>
    <w:uiPriority w:val="10"/>
    <w:rsid w:val="000B6DF7"/>
    <w:rPr>
      <w:rFonts w:ascii="Arial" w:hAnsi="Arial"/>
      <w:sz w:val="22"/>
      <w:lang w:eastAsia="en-US" w:bidi="en-US"/>
    </w:rPr>
  </w:style>
  <w:style w:type="paragraph" w:customStyle="1" w:styleId="Clauseheading">
    <w:name w:val="Clause heading"/>
    <w:basedOn w:val="Normal"/>
    <w:next w:val="Normal"/>
    <w:uiPriority w:val="14"/>
    <w:qFormat/>
    <w:pPr>
      <w:tabs>
        <w:tab w:val="left" w:pos="851"/>
      </w:tabs>
    </w:pPr>
    <w:rPr>
      <w:b/>
      <w:szCs w:val="20"/>
    </w:rPr>
  </w:style>
  <w:style w:type="paragraph" w:customStyle="1" w:styleId="ClauseList">
    <w:name w:val="Clause List"/>
    <w:basedOn w:val="Clause"/>
    <w:next w:val="Normal"/>
    <w:uiPriority w:val="14"/>
    <w:qFormat/>
  </w:style>
  <w:style w:type="paragraph" w:customStyle="1" w:styleId="Definition">
    <w:name w:val="Definition"/>
    <w:basedOn w:val="Normal"/>
    <w:next w:val="Normal"/>
    <w:uiPriority w:val="15"/>
    <w:qFormat/>
    <w:pPr>
      <w:ind w:left="1701" w:hanging="851"/>
    </w:pPr>
    <w:rPr>
      <w:szCs w:val="20"/>
    </w:rPr>
  </w:style>
  <w:style w:type="paragraph" w:customStyle="1" w:styleId="DivisionHeading">
    <w:name w:val="Division Heading"/>
    <w:basedOn w:val="Normal"/>
    <w:next w:val="Normal"/>
    <w:uiPriority w:val="15"/>
    <w:qFormat/>
    <w:pPr>
      <w:tabs>
        <w:tab w:val="left" w:pos="851"/>
      </w:tabs>
      <w:jc w:val="center"/>
    </w:pPr>
    <w:rPr>
      <w:b/>
      <w:sz w:val="28"/>
      <w:szCs w:val="20"/>
    </w:rPr>
  </w:style>
  <w:style w:type="paragraph" w:customStyle="1" w:styleId="EditorialNoteLine1">
    <w:name w:val="Editorial Note Line 1"/>
    <w:basedOn w:val="Normal"/>
    <w:next w:val="Normal"/>
    <w:uiPriority w:val="16"/>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uiPriority w:val="12"/>
    <w:qFormat/>
    <w:pPr>
      <w:tabs>
        <w:tab w:val="clear" w:pos="851"/>
      </w:tabs>
      <w:ind w:left="1702" w:hanging="851"/>
    </w:pPr>
  </w:style>
  <w:style w:type="paragraph" w:customStyle="1" w:styleId="ScheduleHeading">
    <w:name w:val="Schedule Heading"/>
    <w:basedOn w:val="Normal"/>
    <w:next w:val="Normal"/>
    <w:uiPriority w:val="18"/>
    <w:qFormat/>
    <w:pPr>
      <w:tabs>
        <w:tab w:val="left" w:pos="851"/>
      </w:tabs>
      <w:jc w:val="center"/>
    </w:pPr>
    <w:rPr>
      <w:b/>
      <w:caps/>
      <w:szCs w:val="20"/>
    </w:rPr>
  </w:style>
  <w:style w:type="paragraph" w:customStyle="1" w:styleId="Standardtitle">
    <w:name w:val="Standard title"/>
    <w:basedOn w:val="Normal"/>
    <w:uiPriority w:val="18"/>
    <w:qFormat/>
    <w:pPr>
      <w:tabs>
        <w:tab w:val="left" w:pos="851"/>
      </w:tabs>
      <w:jc w:val="center"/>
    </w:pPr>
    <w:rPr>
      <w:b/>
      <w:i/>
      <w:iCs/>
      <w:caps/>
      <w:sz w:val="28"/>
      <w:szCs w:val="20"/>
    </w:rPr>
  </w:style>
  <w:style w:type="paragraph" w:customStyle="1" w:styleId="Subclause">
    <w:name w:val="Subclause"/>
    <w:basedOn w:val="Clause"/>
    <w:uiPriority w:val="11"/>
    <w:qFormat/>
    <w:pPr>
      <w:ind w:hanging="11"/>
    </w:pPr>
  </w:style>
  <w:style w:type="paragraph" w:customStyle="1" w:styleId="Subparagraph">
    <w:name w:val="Subparagraph"/>
    <w:basedOn w:val="Paragraph"/>
    <w:next w:val="Normal"/>
    <w:uiPriority w:val="13"/>
    <w:qFormat/>
    <w:pPr>
      <w:ind w:left="2553"/>
    </w:pPr>
  </w:style>
  <w:style w:type="paragraph" w:customStyle="1" w:styleId="Table1">
    <w:name w:val="Table 1"/>
    <w:basedOn w:val="Normal"/>
    <w:uiPriority w:val="20"/>
    <w:qFormat/>
    <w:pPr>
      <w:spacing w:after="120"/>
      <w:jc w:val="center"/>
    </w:pPr>
    <w:rPr>
      <w:b/>
      <w:bCs/>
      <w:sz w:val="20"/>
      <w:szCs w:val="20"/>
    </w:rPr>
  </w:style>
  <w:style w:type="paragraph" w:customStyle="1" w:styleId="Table2">
    <w:name w:val="Table 2"/>
    <w:basedOn w:val="Normal"/>
    <w:uiPriority w:val="20"/>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uiPriority w:val="19"/>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customStyle="1" w:styleId="FootnoteTextChar">
    <w:name w:val="Footnote Text Char"/>
    <w:aliases w:val="Footnotes Text Char,FSFootnotes Text Char"/>
    <w:basedOn w:val="DefaultParagraphFont"/>
    <w:link w:val="FootnoteText"/>
    <w:uiPriority w:val="5"/>
    <w:rsid w:val="000B6DF7"/>
    <w:rPr>
      <w:rFonts w:ascii="Arial" w:hAnsi="Arial"/>
      <w:lang w:eastAsia="en-US" w:bidi="en-US"/>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0B6DF7"/>
    <w:rPr>
      <w:rFonts w:ascii="Tahoma" w:hAnsi="Tahoma" w:cs="Tahoma"/>
      <w:sz w:val="16"/>
      <w:szCs w:val="16"/>
      <w:lang w:eastAsia="en-US" w:bidi="en-US"/>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uiPriority w:val="99"/>
    <w:rsid w:val="00AF387F"/>
    <w:rPr>
      <w:b/>
      <w:bCs/>
    </w:rPr>
  </w:style>
  <w:style w:type="character" w:customStyle="1" w:styleId="CommentSubjectChar">
    <w:name w:val="Comment Subject Char"/>
    <w:basedOn w:val="CommentTextChar"/>
    <w:link w:val="CommentSubject"/>
    <w:uiPriority w:val="99"/>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131ItemHeading">
    <w:name w:val="1.3.1 Item Heading"/>
    <w:basedOn w:val="Table2"/>
    <w:next w:val="Table2"/>
    <w:uiPriority w:val="22"/>
    <w:qFormat/>
    <w:rsid w:val="000B6DF7"/>
    <w:pPr>
      <w:keepNext/>
      <w:widowControl/>
      <w:tabs>
        <w:tab w:val="left" w:pos="851"/>
      </w:tabs>
      <w:spacing w:after="200"/>
      <w:ind w:left="0" w:firstLine="0"/>
    </w:pPr>
    <w:rPr>
      <w:b/>
      <w:bCs w:val="0"/>
      <w:caps/>
      <w:lang w:bidi="ar-SA"/>
    </w:rPr>
  </w:style>
  <w:style w:type="paragraph" w:customStyle="1" w:styleId="131Subitemheading">
    <w:name w:val="1.3.1 Subitem heading"/>
    <w:basedOn w:val="131ItemHeading"/>
    <w:next w:val="Table2"/>
    <w:uiPriority w:val="22"/>
    <w:qFormat/>
    <w:rsid w:val="000B6DF7"/>
    <w:pPr>
      <w:spacing w:after="120"/>
    </w:pPr>
    <w:rPr>
      <w:caps w:val="0"/>
      <w:sz w:val="18"/>
    </w:rPr>
  </w:style>
  <w:style w:type="paragraph" w:customStyle="1" w:styleId="142Tableheading10">
    <w:name w:val="1.4.2 Table heading1"/>
    <w:basedOn w:val="Normal"/>
    <w:uiPriority w:val="22"/>
    <w:qFormat/>
    <w:rsid w:val="000B6DF7"/>
    <w:pPr>
      <w:keepNext/>
      <w:widowControl/>
      <w:jc w:val="center"/>
    </w:pPr>
    <w:rPr>
      <w:rFonts w:ascii="Arial Bold" w:eastAsiaTheme="minorHAnsi" w:hAnsi="Arial Bold" w:cstheme="minorBidi"/>
      <w:b/>
      <w:bCs/>
      <w:iCs/>
      <w:sz w:val="18"/>
      <w:szCs w:val="22"/>
      <w:lang w:bidi="ar-SA"/>
    </w:rPr>
  </w:style>
  <w:style w:type="paragraph" w:customStyle="1" w:styleId="142Tabletext10">
    <w:name w:val="1.4.2 Table text1"/>
    <w:basedOn w:val="Normal"/>
    <w:link w:val="142Tabletext1Char"/>
    <w:uiPriority w:val="22"/>
    <w:qFormat/>
    <w:rsid w:val="000B6DF7"/>
    <w:pPr>
      <w:widowControl/>
      <w:ind w:left="142" w:hanging="142"/>
    </w:pPr>
    <w:rPr>
      <w:sz w:val="18"/>
      <w:szCs w:val="20"/>
      <w:lang w:bidi="ar-SA"/>
    </w:rPr>
  </w:style>
  <w:style w:type="character" w:customStyle="1" w:styleId="142Tabletext1Char">
    <w:name w:val="1.4.2 Table text1 Char"/>
    <w:basedOn w:val="DefaultParagraphFont"/>
    <w:link w:val="142Tabletext10"/>
    <w:uiPriority w:val="22"/>
    <w:rsid w:val="000B6DF7"/>
    <w:rPr>
      <w:rFonts w:ascii="Arial" w:hAnsi="Arial"/>
      <w:sz w:val="18"/>
      <w:lang w:eastAsia="en-US"/>
    </w:rPr>
  </w:style>
  <w:style w:type="paragraph" w:customStyle="1" w:styleId="142Tabletext20">
    <w:name w:val="1.4.2 Table text2"/>
    <w:basedOn w:val="142Tabletext10"/>
    <w:uiPriority w:val="22"/>
    <w:qFormat/>
    <w:rsid w:val="000B6DF7"/>
    <w:pPr>
      <w:jc w:val="right"/>
    </w:pPr>
  </w:style>
  <w:style w:type="paragraph" w:customStyle="1" w:styleId="Blankpage">
    <w:name w:val="Blank page"/>
    <w:basedOn w:val="Normal"/>
    <w:next w:val="Normal"/>
    <w:uiPriority w:val="23"/>
    <w:qFormat/>
    <w:rsid w:val="000B6DF7"/>
    <w:pPr>
      <w:widowControl/>
      <w:tabs>
        <w:tab w:val="left" w:pos="851"/>
      </w:tabs>
      <w:spacing w:before="6000"/>
      <w:jc w:val="center"/>
    </w:pPr>
    <w:rPr>
      <w:caps/>
      <w:szCs w:val="20"/>
      <w:lang w:bidi="ar-SA"/>
    </w:rPr>
  </w:style>
  <w:style w:type="paragraph" w:customStyle="1" w:styleId="FSCaption">
    <w:name w:val="FSCaption"/>
    <w:basedOn w:val="Normal"/>
    <w:uiPriority w:val="9"/>
    <w:qFormat/>
    <w:rsid w:val="000B6DF7"/>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0B6DF7"/>
    <w:pPr>
      <w:widowControl/>
    </w:pPr>
    <w:rPr>
      <w:sz w:val="16"/>
      <w:szCs w:val="20"/>
      <w:lang w:bidi="ar-SA"/>
    </w:rPr>
  </w:style>
  <w:style w:type="paragraph" w:customStyle="1" w:styleId="FSCFooter">
    <w:name w:val="FSCFooter"/>
    <w:basedOn w:val="FSCFootnote"/>
    <w:uiPriority w:val="17"/>
    <w:qFormat/>
    <w:rsid w:val="000B6DF7"/>
    <w:pPr>
      <w:tabs>
        <w:tab w:val="center" w:pos="4536"/>
        <w:tab w:val="right" w:pos="9070"/>
      </w:tabs>
    </w:pPr>
    <w:rPr>
      <w:sz w:val="18"/>
      <w:szCs w:val="18"/>
    </w:rPr>
  </w:style>
  <w:style w:type="paragraph" w:customStyle="1" w:styleId="FSPagenumber">
    <w:name w:val="FSPage number"/>
    <w:basedOn w:val="Normal"/>
    <w:uiPriority w:val="1"/>
    <w:qFormat/>
    <w:rsid w:val="000B6DF7"/>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0B6DF7"/>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0B6DF7"/>
    <w:pPr>
      <w:widowControl/>
      <w:spacing w:before="120" w:after="120"/>
      <w:ind w:left="1134" w:hanging="1134"/>
    </w:pPr>
    <w:rPr>
      <w:rFonts w:eastAsiaTheme="minorHAnsi" w:cstheme="minorBidi"/>
      <w:b/>
      <w:i/>
      <w:szCs w:val="22"/>
      <w:lang w:bidi="ar-SA"/>
    </w:rPr>
  </w:style>
  <w:style w:type="paragraph" w:styleId="NoSpacing">
    <w:name w:val="No Spacing"/>
    <w:uiPriority w:val="20"/>
    <w:rsid w:val="000B6DF7"/>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0B6DF7"/>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0B6DF7"/>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0B6DF7"/>
    <w:rPr>
      <w:b/>
      <w:bCs/>
      <w:i/>
      <w:iCs/>
      <w:color w:val="4F81BD" w:themeColor="accent1"/>
    </w:rPr>
  </w:style>
  <w:style w:type="paragraph" w:styleId="ListParagraph">
    <w:name w:val="List Paragraph"/>
    <w:basedOn w:val="Normal"/>
    <w:uiPriority w:val="34"/>
    <w:rsid w:val="000B6DF7"/>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rsid w:val="000B6DF7"/>
    <w:pPr>
      <w:widowControl/>
      <w:spacing w:after="200" w:line="276" w:lineRule="auto"/>
    </w:pPr>
    <w:rPr>
      <w:rFonts w:asciiTheme="minorHAnsi" w:eastAsiaTheme="minorEastAsia" w:hAnsiTheme="minorHAnsi" w:cstheme="minorBidi"/>
      <w:i/>
      <w:iCs/>
      <w:color w:val="000000" w:themeColor="text1"/>
      <w:szCs w:val="22"/>
      <w:lang w:val="en-US" w:eastAsia="ja-JP" w:bidi="ar-SA"/>
    </w:rPr>
  </w:style>
  <w:style w:type="character" w:customStyle="1" w:styleId="QuoteChar">
    <w:name w:val="Quote Char"/>
    <w:basedOn w:val="DefaultParagraphFont"/>
    <w:link w:val="Quote"/>
    <w:uiPriority w:val="29"/>
    <w:rsid w:val="000B6DF7"/>
    <w:rPr>
      <w:rFonts w:asciiTheme="minorHAnsi" w:eastAsiaTheme="minorEastAsia" w:hAnsiTheme="minorHAnsi" w:cstheme="minorBidi"/>
      <w:i/>
      <w:iCs/>
      <w:color w:val="000000" w:themeColor="text1"/>
      <w:sz w:val="22"/>
      <w:szCs w:val="22"/>
      <w:lang w:val="en-US" w:eastAsia="ja-JP"/>
    </w:rPr>
  </w:style>
  <w:style w:type="paragraph" w:styleId="EndnoteText">
    <w:name w:val="endnote text"/>
    <w:basedOn w:val="Normal"/>
    <w:link w:val="EndnoteTextChar"/>
    <w:uiPriority w:val="99"/>
    <w:unhideWhenUsed/>
    <w:rsid w:val="000B6DF7"/>
    <w:pPr>
      <w:widowControl/>
    </w:pPr>
    <w:rPr>
      <w:rFonts w:eastAsiaTheme="minorHAnsi" w:cstheme="minorBidi"/>
      <w:sz w:val="20"/>
      <w:szCs w:val="20"/>
      <w:lang w:bidi="ar-SA"/>
    </w:rPr>
  </w:style>
  <w:style w:type="character" w:customStyle="1" w:styleId="EndnoteTextChar">
    <w:name w:val="Endnote Text Char"/>
    <w:basedOn w:val="DefaultParagraphFont"/>
    <w:link w:val="EndnoteText"/>
    <w:uiPriority w:val="99"/>
    <w:rsid w:val="000B6DF7"/>
    <w:rPr>
      <w:rFonts w:ascii="Arial" w:eastAsiaTheme="minorHAnsi" w:hAnsi="Arial" w:cstheme="minorBidi"/>
      <w:lang w:eastAsia="en-US"/>
    </w:rPr>
  </w:style>
  <w:style w:type="character" w:styleId="EndnoteReference">
    <w:name w:val="endnote reference"/>
    <w:basedOn w:val="DefaultParagraphFont"/>
    <w:uiPriority w:val="99"/>
    <w:unhideWhenUsed/>
    <w:rsid w:val="000B6DF7"/>
    <w:rPr>
      <w:vertAlign w:val="superscript"/>
    </w:rPr>
  </w:style>
  <w:style w:type="table" w:styleId="LightList">
    <w:name w:val="Light List"/>
    <w:basedOn w:val="TableNormal"/>
    <w:uiPriority w:val="61"/>
    <w:rsid w:val="000B6DF7"/>
    <w:rPr>
      <w:rFonts w:ascii="Arial" w:eastAsiaTheme="minorHAnsi" w:hAnsi="Arial" w:cs="Arial"/>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B6DF7"/>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0B6DF7"/>
    <w:pPr>
      <w:widowControl/>
      <w:spacing w:before="100" w:beforeAutospacing="1" w:after="100" w:afterAutospacing="1"/>
    </w:pPr>
    <w:rPr>
      <w:rFonts w:ascii="Times New Roman" w:eastAsiaTheme="minorEastAsia" w:hAnsi="Times New Roman"/>
      <w:sz w:val="24"/>
      <w:lang w:eastAsia="en-GB" w:bidi="ar-SA"/>
    </w:rPr>
  </w:style>
  <w:style w:type="table" w:styleId="TableSimple3">
    <w:name w:val="Table Simple 3"/>
    <w:basedOn w:val="TableNormal"/>
    <w:rsid w:val="00F56291"/>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header" w:qFormat="1"/>
    <w:lsdException w:name="footer" w:uiPriority="99" w:qFormat="1"/>
    <w:lsdException w:name="caption" w:semiHidden="1" w:unhideWhenUsed="1"/>
    <w:lsdException w:name="footnote reference" w:uiPriority="99"/>
    <w:lsdException w:name="endnote reference" w:uiPriority="99"/>
    <w:lsdException w:name="endnote text" w:uiPriority="99"/>
    <w:lsdException w:name="Title" w:uiPriority="10"/>
    <w:lsdException w:name="Subtitle" w:uiPriority="11"/>
    <w:lsdException w:name="Hyperlink" w:uiPriority="99"/>
    <w:lsdException w:name="FollowedHyperlink" w:uiPriority="99"/>
    <w:lsdException w:name="Strong" w:uiPriority="22"/>
    <w:lsdException w:name="Emphasis" w:uiPriority="20"/>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8E314D"/>
    <w:pPr>
      <w:keepNext/>
      <w:numPr>
        <w:numId w:val="9"/>
      </w:numPr>
      <w:spacing w:before="240" w:after="240"/>
      <w:outlineLvl w:val="1"/>
    </w:pPr>
    <w:rPr>
      <w:rFonts w:cs="Arial"/>
      <w:bCs/>
      <w:szCs w:val="22"/>
      <w:lang w:bidi="ar-SA"/>
    </w:rPr>
  </w:style>
  <w:style w:type="paragraph" w:styleId="Heading3">
    <w:name w:val="heading 3"/>
    <w:aliases w:val="FSHeading 3,Subheading 1"/>
    <w:basedOn w:val="Normal"/>
    <w:next w:val="Normal"/>
    <w:link w:val="Heading3Char"/>
    <w:autoRedefine/>
    <w:uiPriority w:val="2"/>
    <w:unhideWhenUsed/>
    <w:qFormat/>
    <w:rsid w:val="00C052C0"/>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8E314D"/>
    <w:rPr>
      <w:rFonts w:ascii="Arial" w:hAnsi="Arial" w:cs="Arial"/>
      <w:bCs/>
      <w:sz w:val="22"/>
      <w:szCs w:val="22"/>
      <w:lang w:eastAsia="en-US"/>
    </w:rPr>
  </w:style>
  <w:style w:type="character" w:customStyle="1" w:styleId="Heading3Char">
    <w:name w:val="Heading 3 Char"/>
    <w:aliases w:val="FSHeading 3 Char,Subheading 1 Char"/>
    <w:link w:val="Heading3"/>
    <w:uiPriority w:val="2"/>
    <w:rsid w:val="00C052C0"/>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E837C3"/>
    <w:pPr>
      <w:spacing w:before="120" w:after="120"/>
      <w:ind w:left="567" w:hanging="567"/>
    </w:pPr>
    <w:rPr>
      <w:rFonts w:cstheme="minorHAnsi"/>
      <w:b/>
      <w:bCs/>
      <w:caps/>
      <w:sz w:val="20"/>
      <w:szCs w:val="20"/>
    </w:rPr>
  </w:style>
  <w:style w:type="paragraph" w:styleId="TOC2">
    <w:name w:val="toc 2"/>
    <w:basedOn w:val="Normal"/>
    <w:next w:val="Normal"/>
    <w:autoRedefine/>
    <w:uiPriority w:val="39"/>
    <w:rsid w:val="00E837C3"/>
    <w:pPr>
      <w:spacing w:after="120"/>
      <w:ind w:left="1134" w:right="284" w:hanging="567"/>
    </w:pPr>
    <w:rPr>
      <w:rFonts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6DF7"/>
    <w:rPr>
      <w:rFonts w:ascii="Arial" w:hAnsi="Arial"/>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uiPriority w:val="22"/>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pPr>
      <w:tabs>
        <w:tab w:val="left" w:pos="851"/>
      </w:tabs>
    </w:pPr>
    <w:rPr>
      <w:szCs w:val="20"/>
    </w:rPr>
  </w:style>
  <w:style w:type="character" w:customStyle="1" w:styleId="ClauseChar">
    <w:name w:val="Clause Char"/>
    <w:basedOn w:val="DefaultParagraphFont"/>
    <w:link w:val="Clause"/>
    <w:uiPriority w:val="10"/>
    <w:rsid w:val="000B6DF7"/>
    <w:rPr>
      <w:rFonts w:ascii="Arial" w:hAnsi="Arial"/>
      <w:sz w:val="22"/>
      <w:lang w:eastAsia="en-US" w:bidi="en-US"/>
    </w:rPr>
  </w:style>
  <w:style w:type="paragraph" w:customStyle="1" w:styleId="Clauseheading">
    <w:name w:val="Clause heading"/>
    <w:basedOn w:val="Normal"/>
    <w:next w:val="Normal"/>
    <w:uiPriority w:val="14"/>
    <w:qFormat/>
    <w:pPr>
      <w:tabs>
        <w:tab w:val="left" w:pos="851"/>
      </w:tabs>
    </w:pPr>
    <w:rPr>
      <w:b/>
      <w:szCs w:val="20"/>
    </w:rPr>
  </w:style>
  <w:style w:type="paragraph" w:customStyle="1" w:styleId="ClauseList">
    <w:name w:val="Clause List"/>
    <w:basedOn w:val="Clause"/>
    <w:next w:val="Normal"/>
    <w:uiPriority w:val="14"/>
    <w:qFormat/>
  </w:style>
  <w:style w:type="paragraph" w:customStyle="1" w:styleId="Definition">
    <w:name w:val="Definition"/>
    <w:basedOn w:val="Normal"/>
    <w:next w:val="Normal"/>
    <w:uiPriority w:val="15"/>
    <w:qFormat/>
    <w:pPr>
      <w:ind w:left="1701" w:hanging="851"/>
    </w:pPr>
    <w:rPr>
      <w:szCs w:val="20"/>
    </w:rPr>
  </w:style>
  <w:style w:type="paragraph" w:customStyle="1" w:styleId="DivisionHeading">
    <w:name w:val="Division Heading"/>
    <w:basedOn w:val="Normal"/>
    <w:next w:val="Normal"/>
    <w:uiPriority w:val="15"/>
    <w:qFormat/>
    <w:pPr>
      <w:tabs>
        <w:tab w:val="left" w:pos="851"/>
      </w:tabs>
      <w:jc w:val="center"/>
    </w:pPr>
    <w:rPr>
      <w:b/>
      <w:sz w:val="28"/>
      <w:szCs w:val="20"/>
    </w:rPr>
  </w:style>
  <w:style w:type="paragraph" w:customStyle="1" w:styleId="EditorialNoteLine1">
    <w:name w:val="Editorial Note Line 1"/>
    <w:basedOn w:val="Normal"/>
    <w:next w:val="Normal"/>
    <w:uiPriority w:val="16"/>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uiPriority w:val="12"/>
    <w:qFormat/>
    <w:pPr>
      <w:tabs>
        <w:tab w:val="clear" w:pos="851"/>
      </w:tabs>
      <w:ind w:left="1702" w:hanging="851"/>
    </w:pPr>
  </w:style>
  <w:style w:type="paragraph" w:customStyle="1" w:styleId="ScheduleHeading">
    <w:name w:val="Schedule Heading"/>
    <w:basedOn w:val="Normal"/>
    <w:next w:val="Normal"/>
    <w:uiPriority w:val="18"/>
    <w:qFormat/>
    <w:pPr>
      <w:tabs>
        <w:tab w:val="left" w:pos="851"/>
      </w:tabs>
      <w:jc w:val="center"/>
    </w:pPr>
    <w:rPr>
      <w:b/>
      <w:caps/>
      <w:szCs w:val="20"/>
    </w:rPr>
  </w:style>
  <w:style w:type="paragraph" w:customStyle="1" w:styleId="Standardtitle">
    <w:name w:val="Standard title"/>
    <w:basedOn w:val="Normal"/>
    <w:uiPriority w:val="18"/>
    <w:qFormat/>
    <w:pPr>
      <w:tabs>
        <w:tab w:val="left" w:pos="851"/>
      </w:tabs>
      <w:jc w:val="center"/>
    </w:pPr>
    <w:rPr>
      <w:b/>
      <w:i/>
      <w:iCs/>
      <w:caps/>
      <w:sz w:val="28"/>
      <w:szCs w:val="20"/>
    </w:rPr>
  </w:style>
  <w:style w:type="paragraph" w:customStyle="1" w:styleId="Subclause">
    <w:name w:val="Subclause"/>
    <w:basedOn w:val="Clause"/>
    <w:uiPriority w:val="11"/>
    <w:qFormat/>
    <w:pPr>
      <w:ind w:hanging="11"/>
    </w:pPr>
  </w:style>
  <w:style w:type="paragraph" w:customStyle="1" w:styleId="Subparagraph">
    <w:name w:val="Subparagraph"/>
    <w:basedOn w:val="Paragraph"/>
    <w:next w:val="Normal"/>
    <w:uiPriority w:val="13"/>
    <w:qFormat/>
    <w:pPr>
      <w:ind w:left="2553"/>
    </w:pPr>
  </w:style>
  <w:style w:type="paragraph" w:customStyle="1" w:styleId="Table1">
    <w:name w:val="Table 1"/>
    <w:basedOn w:val="Normal"/>
    <w:uiPriority w:val="20"/>
    <w:qFormat/>
    <w:pPr>
      <w:spacing w:after="120"/>
      <w:jc w:val="center"/>
    </w:pPr>
    <w:rPr>
      <w:b/>
      <w:bCs/>
      <w:sz w:val="20"/>
      <w:szCs w:val="20"/>
    </w:rPr>
  </w:style>
  <w:style w:type="paragraph" w:customStyle="1" w:styleId="Table2">
    <w:name w:val="Table 2"/>
    <w:basedOn w:val="Normal"/>
    <w:uiPriority w:val="20"/>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uiPriority w:val="19"/>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customStyle="1" w:styleId="FootnoteTextChar">
    <w:name w:val="Footnote Text Char"/>
    <w:aliases w:val="Footnotes Text Char,FSFootnotes Text Char"/>
    <w:basedOn w:val="DefaultParagraphFont"/>
    <w:link w:val="FootnoteText"/>
    <w:uiPriority w:val="5"/>
    <w:rsid w:val="000B6DF7"/>
    <w:rPr>
      <w:rFonts w:ascii="Arial" w:hAnsi="Arial"/>
      <w:lang w:eastAsia="en-US" w:bidi="en-US"/>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0B6DF7"/>
    <w:rPr>
      <w:rFonts w:ascii="Tahoma" w:hAnsi="Tahoma" w:cs="Tahoma"/>
      <w:sz w:val="16"/>
      <w:szCs w:val="16"/>
      <w:lang w:eastAsia="en-US" w:bidi="en-US"/>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uiPriority w:val="99"/>
    <w:rsid w:val="00AF387F"/>
    <w:rPr>
      <w:b/>
      <w:bCs/>
    </w:rPr>
  </w:style>
  <w:style w:type="character" w:customStyle="1" w:styleId="CommentSubjectChar">
    <w:name w:val="Comment Subject Char"/>
    <w:basedOn w:val="CommentTextChar"/>
    <w:link w:val="CommentSubject"/>
    <w:uiPriority w:val="99"/>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131ItemHeading">
    <w:name w:val="1.3.1 Item Heading"/>
    <w:basedOn w:val="Table2"/>
    <w:next w:val="Table2"/>
    <w:uiPriority w:val="22"/>
    <w:qFormat/>
    <w:rsid w:val="000B6DF7"/>
    <w:pPr>
      <w:keepNext/>
      <w:widowControl/>
      <w:tabs>
        <w:tab w:val="left" w:pos="851"/>
      </w:tabs>
      <w:spacing w:after="200"/>
      <w:ind w:left="0" w:firstLine="0"/>
    </w:pPr>
    <w:rPr>
      <w:b/>
      <w:bCs w:val="0"/>
      <w:caps/>
      <w:lang w:bidi="ar-SA"/>
    </w:rPr>
  </w:style>
  <w:style w:type="paragraph" w:customStyle="1" w:styleId="131Subitemheading">
    <w:name w:val="1.3.1 Subitem heading"/>
    <w:basedOn w:val="131ItemHeading"/>
    <w:next w:val="Table2"/>
    <w:uiPriority w:val="22"/>
    <w:qFormat/>
    <w:rsid w:val="000B6DF7"/>
    <w:pPr>
      <w:spacing w:after="120"/>
    </w:pPr>
    <w:rPr>
      <w:caps w:val="0"/>
      <w:sz w:val="18"/>
    </w:rPr>
  </w:style>
  <w:style w:type="paragraph" w:customStyle="1" w:styleId="142Tableheading10">
    <w:name w:val="1.4.2 Table heading1"/>
    <w:basedOn w:val="Normal"/>
    <w:uiPriority w:val="22"/>
    <w:qFormat/>
    <w:rsid w:val="000B6DF7"/>
    <w:pPr>
      <w:keepNext/>
      <w:widowControl/>
      <w:jc w:val="center"/>
    </w:pPr>
    <w:rPr>
      <w:rFonts w:ascii="Arial Bold" w:eastAsiaTheme="minorHAnsi" w:hAnsi="Arial Bold" w:cstheme="minorBidi"/>
      <w:b/>
      <w:bCs/>
      <w:iCs/>
      <w:sz w:val="18"/>
      <w:szCs w:val="22"/>
      <w:lang w:bidi="ar-SA"/>
    </w:rPr>
  </w:style>
  <w:style w:type="paragraph" w:customStyle="1" w:styleId="142Tabletext10">
    <w:name w:val="1.4.2 Table text1"/>
    <w:basedOn w:val="Normal"/>
    <w:link w:val="142Tabletext1Char"/>
    <w:uiPriority w:val="22"/>
    <w:qFormat/>
    <w:rsid w:val="000B6DF7"/>
    <w:pPr>
      <w:widowControl/>
      <w:ind w:left="142" w:hanging="142"/>
    </w:pPr>
    <w:rPr>
      <w:sz w:val="18"/>
      <w:szCs w:val="20"/>
      <w:lang w:bidi="ar-SA"/>
    </w:rPr>
  </w:style>
  <w:style w:type="character" w:customStyle="1" w:styleId="142Tabletext1Char">
    <w:name w:val="1.4.2 Table text1 Char"/>
    <w:basedOn w:val="DefaultParagraphFont"/>
    <w:link w:val="142Tabletext10"/>
    <w:uiPriority w:val="22"/>
    <w:rsid w:val="000B6DF7"/>
    <w:rPr>
      <w:rFonts w:ascii="Arial" w:hAnsi="Arial"/>
      <w:sz w:val="18"/>
      <w:lang w:eastAsia="en-US"/>
    </w:rPr>
  </w:style>
  <w:style w:type="paragraph" w:customStyle="1" w:styleId="142Tabletext20">
    <w:name w:val="1.4.2 Table text2"/>
    <w:basedOn w:val="142Tabletext10"/>
    <w:uiPriority w:val="22"/>
    <w:qFormat/>
    <w:rsid w:val="000B6DF7"/>
    <w:pPr>
      <w:jc w:val="right"/>
    </w:pPr>
  </w:style>
  <w:style w:type="paragraph" w:customStyle="1" w:styleId="Blankpage">
    <w:name w:val="Blank page"/>
    <w:basedOn w:val="Normal"/>
    <w:next w:val="Normal"/>
    <w:uiPriority w:val="23"/>
    <w:qFormat/>
    <w:rsid w:val="000B6DF7"/>
    <w:pPr>
      <w:widowControl/>
      <w:tabs>
        <w:tab w:val="left" w:pos="851"/>
      </w:tabs>
      <w:spacing w:before="6000"/>
      <w:jc w:val="center"/>
    </w:pPr>
    <w:rPr>
      <w:caps/>
      <w:szCs w:val="20"/>
      <w:lang w:bidi="ar-SA"/>
    </w:rPr>
  </w:style>
  <w:style w:type="paragraph" w:customStyle="1" w:styleId="FSCaption">
    <w:name w:val="FSCaption"/>
    <w:basedOn w:val="Normal"/>
    <w:uiPriority w:val="9"/>
    <w:qFormat/>
    <w:rsid w:val="000B6DF7"/>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0B6DF7"/>
    <w:pPr>
      <w:widowControl/>
    </w:pPr>
    <w:rPr>
      <w:sz w:val="16"/>
      <w:szCs w:val="20"/>
      <w:lang w:bidi="ar-SA"/>
    </w:rPr>
  </w:style>
  <w:style w:type="paragraph" w:customStyle="1" w:styleId="FSCFooter">
    <w:name w:val="FSCFooter"/>
    <w:basedOn w:val="FSCFootnote"/>
    <w:uiPriority w:val="17"/>
    <w:qFormat/>
    <w:rsid w:val="000B6DF7"/>
    <w:pPr>
      <w:tabs>
        <w:tab w:val="center" w:pos="4536"/>
        <w:tab w:val="right" w:pos="9070"/>
      </w:tabs>
    </w:pPr>
    <w:rPr>
      <w:sz w:val="18"/>
      <w:szCs w:val="18"/>
    </w:rPr>
  </w:style>
  <w:style w:type="paragraph" w:customStyle="1" w:styleId="FSPagenumber">
    <w:name w:val="FSPage number"/>
    <w:basedOn w:val="Normal"/>
    <w:uiPriority w:val="1"/>
    <w:qFormat/>
    <w:rsid w:val="000B6DF7"/>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0B6DF7"/>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0B6DF7"/>
    <w:pPr>
      <w:widowControl/>
      <w:spacing w:before="120" w:after="120"/>
      <w:ind w:left="1134" w:hanging="1134"/>
    </w:pPr>
    <w:rPr>
      <w:rFonts w:eastAsiaTheme="minorHAnsi" w:cstheme="minorBidi"/>
      <w:b/>
      <w:i/>
      <w:szCs w:val="22"/>
      <w:lang w:bidi="ar-SA"/>
    </w:rPr>
  </w:style>
  <w:style w:type="paragraph" w:styleId="NoSpacing">
    <w:name w:val="No Spacing"/>
    <w:uiPriority w:val="20"/>
    <w:rsid w:val="000B6DF7"/>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0B6DF7"/>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0B6DF7"/>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0B6DF7"/>
    <w:rPr>
      <w:b/>
      <w:bCs/>
      <w:i/>
      <w:iCs/>
      <w:color w:val="4F81BD" w:themeColor="accent1"/>
    </w:rPr>
  </w:style>
  <w:style w:type="paragraph" w:styleId="ListParagraph">
    <w:name w:val="List Paragraph"/>
    <w:basedOn w:val="Normal"/>
    <w:uiPriority w:val="34"/>
    <w:rsid w:val="000B6DF7"/>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rsid w:val="000B6DF7"/>
    <w:pPr>
      <w:widowControl/>
      <w:spacing w:after="200" w:line="276" w:lineRule="auto"/>
    </w:pPr>
    <w:rPr>
      <w:rFonts w:asciiTheme="minorHAnsi" w:eastAsiaTheme="minorEastAsia" w:hAnsiTheme="minorHAnsi" w:cstheme="minorBidi"/>
      <w:i/>
      <w:iCs/>
      <w:color w:val="000000" w:themeColor="text1"/>
      <w:szCs w:val="22"/>
      <w:lang w:val="en-US" w:eastAsia="ja-JP" w:bidi="ar-SA"/>
    </w:rPr>
  </w:style>
  <w:style w:type="character" w:customStyle="1" w:styleId="QuoteChar">
    <w:name w:val="Quote Char"/>
    <w:basedOn w:val="DefaultParagraphFont"/>
    <w:link w:val="Quote"/>
    <w:uiPriority w:val="29"/>
    <w:rsid w:val="000B6DF7"/>
    <w:rPr>
      <w:rFonts w:asciiTheme="minorHAnsi" w:eastAsiaTheme="minorEastAsia" w:hAnsiTheme="minorHAnsi" w:cstheme="minorBidi"/>
      <w:i/>
      <w:iCs/>
      <w:color w:val="000000" w:themeColor="text1"/>
      <w:sz w:val="22"/>
      <w:szCs w:val="22"/>
      <w:lang w:val="en-US" w:eastAsia="ja-JP"/>
    </w:rPr>
  </w:style>
  <w:style w:type="paragraph" w:styleId="EndnoteText">
    <w:name w:val="endnote text"/>
    <w:basedOn w:val="Normal"/>
    <w:link w:val="EndnoteTextChar"/>
    <w:uiPriority w:val="99"/>
    <w:unhideWhenUsed/>
    <w:rsid w:val="000B6DF7"/>
    <w:pPr>
      <w:widowControl/>
    </w:pPr>
    <w:rPr>
      <w:rFonts w:eastAsiaTheme="minorHAnsi" w:cstheme="minorBidi"/>
      <w:sz w:val="20"/>
      <w:szCs w:val="20"/>
      <w:lang w:bidi="ar-SA"/>
    </w:rPr>
  </w:style>
  <w:style w:type="character" w:customStyle="1" w:styleId="EndnoteTextChar">
    <w:name w:val="Endnote Text Char"/>
    <w:basedOn w:val="DefaultParagraphFont"/>
    <w:link w:val="EndnoteText"/>
    <w:uiPriority w:val="99"/>
    <w:rsid w:val="000B6DF7"/>
    <w:rPr>
      <w:rFonts w:ascii="Arial" w:eastAsiaTheme="minorHAnsi" w:hAnsi="Arial" w:cstheme="minorBidi"/>
      <w:lang w:eastAsia="en-US"/>
    </w:rPr>
  </w:style>
  <w:style w:type="character" w:styleId="EndnoteReference">
    <w:name w:val="endnote reference"/>
    <w:basedOn w:val="DefaultParagraphFont"/>
    <w:uiPriority w:val="99"/>
    <w:unhideWhenUsed/>
    <w:rsid w:val="000B6DF7"/>
    <w:rPr>
      <w:vertAlign w:val="superscript"/>
    </w:rPr>
  </w:style>
  <w:style w:type="table" w:styleId="LightList">
    <w:name w:val="Light List"/>
    <w:basedOn w:val="TableNormal"/>
    <w:uiPriority w:val="61"/>
    <w:rsid w:val="000B6DF7"/>
    <w:rPr>
      <w:rFonts w:ascii="Arial" w:eastAsiaTheme="minorHAnsi" w:hAnsi="Arial" w:cs="Arial"/>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B6DF7"/>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0B6DF7"/>
    <w:pPr>
      <w:widowControl/>
      <w:spacing w:before="100" w:beforeAutospacing="1" w:after="100" w:afterAutospacing="1"/>
    </w:pPr>
    <w:rPr>
      <w:rFonts w:ascii="Times New Roman" w:eastAsiaTheme="minorEastAsia" w:hAnsi="Times New Roman"/>
      <w:sz w:val="24"/>
      <w:lang w:eastAsia="en-GB" w:bidi="ar-SA"/>
    </w:rPr>
  </w:style>
  <w:style w:type="table" w:styleId="TableSimple3">
    <w:name w:val="Table Simple 3"/>
    <w:basedOn w:val="TableNormal"/>
    <w:rsid w:val="00F56291"/>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25891">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16488019">
      <w:bodyDiv w:val="1"/>
      <w:marLeft w:val="0"/>
      <w:marRight w:val="0"/>
      <w:marTop w:val="0"/>
      <w:marBottom w:val="0"/>
      <w:divBdr>
        <w:top w:val="none" w:sz="0" w:space="0" w:color="auto"/>
        <w:left w:val="none" w:sz="0" w:space="0" w:color="auto"/>
        <w:bottom w:val="none" w:sz="0" w:space="0" w:color="auto"/>
        <w:right w:val="none" w:sz="0" w:space="0" w:color="auto"/>
      </w:divBdr>
      <w:divsChild>
        <w:div w:id="617875453">
          <w:marLeft w:val="0"/>
          <w:marRight w:val="0"/>
          <w:marTop w:val="0"/>
          <w:marBottom w:val="0"/>
          <w:divBdr>
            <w:top w:val="none" w:sz="0" w:space="0" w:color="auto"/>
            <w:left w:val="none" w:sz="0" w:space="0" w:color="auto"/>
            <w:bottom w:val="none" w:sz="0" w:space="0" w:color="auto"/>
            <w:right w:val="none" w:sz="0" w:space="0" w:color="auto"/>
          </w:divBdr>
          <w:divsChild>
            <w:div w:id="1807893223">
              <w:marLeft w:val="0"/>
              <w:marRight w:val="0"/>
              <w:marTop w:val="0"/>
              <w:marBottom w:val="0"/>
              <w:divBdr>
                <w:top w:val="none" w:sz="0" w:space="0" w:color="auto"/>
                <w:left w:val="none" w:sz="0" w:space="0" w:color="auto"/>
                <w:bottom w:val="none" w:sz="0" w:space="0" w:color="auto"/>
                <w:right w:val="none" w:sz="0" w:space="0" w:color="auto"/>
              </w:divBdr>
              <w:divsChild>
                <w:div w:id="1376544444">
                  <w:marLeft w:val="0"/>
                  <w:marRight w:val="0"/>
                  <w:marTop w:val="0"/>
                  <w:marBottom w:val="0"/>
                  <w:divBdr>
                    <w:top w:val="none" w:sz="0" w:space="0" w:color="auto"/>
                    <w:left w:val="none" w:sz="0" w:space="0" w:color="auto"/>
                    <w:bottom w:val="none" w:sz="0" w:space="0" w:color="auto"/>
                    <w:right w:val="none" w:sz="0" w:space="0" w:color="auto"/>
                  </w:divBdr>
                  <w:divsChild>
                    <w:div w:id="156381189">
                      <w:marLeft w:val="0"/>
                      <w:marRight w:val="0"/>
                      <w:marTop w:val="0"/>
                      <w:marBottom w:val="0"/>
                      <w:divBdr>
                        <w:top w:val="none" w:sz="0" w:space="0" w:color="auto"/>
                        <w:left w:val="none" w:sz="0" w:space="0" w:color="auto"/>
                        <w:bottom w:val="none" w:sz="0" w:space="0" w:color="auto"/>
                        <w:right w:val="none" w:sz="0" w:space="0" w:color="auto"/>
                      </w:divBdr>
                      <w:divsChild>
                        <w:div w:id="1788625571">
                          <w:marLeft w:val="0"/>
                          <w:marRight w:val="0"/>
                          <w:marTop w:val="0"/>
                          <w:marBottom w:val="0"/>
                          <w:divBdr>
                            <w:top w:val="none" w:sz="0" w:space="0" w:color="auto"/>
                            <w:left w:val="none" w:sz="0" w:space="0" w:color="auto"/>
                            <w:bottom w:val="none" w:sz="0" w:space="0" w:color="auto"/>
                            <w:right w:val="none" w:sz="0" w:space="0" w:color="auto"/>
                          </w:divBdr>
                          <w:divsChild>
                            <w:div w:id="581916745">
                              <w:marLeft w:val="0"/>
                              <w:marRight w:val="0"/>
                              <w:marTop w:val="0"/>
                              <w:marBottom w:val="0"/>
                              <w:divBdr>
                                <w:top w:val="none" w:sz="0" w:space="0" w:color="auto"/>
                                <w:left w:val="none" w:sz="0" w:space="0" w:color="auto"/>
                                <w:bottom w:val="none" w:sz="0" w:space="0" w:color="auto"/>
                                <w:right w:val="none" w:sz="0" w:space="0" w:color="auto"/>
                              </w:divBdr>
                            </w:div>
                            <w:div w:id="313608886">
                              <w:marLeft w:val="0"/>
                              <w:marRight w:val="0"/>
                              <w:marTop w:val="0"/>
                              <w:marBottom w:val="0"/>
                              <w:divBdr>
                                <w:top w:val="none" w:sz="0" w:space="0" w:color="auto"/>
                                <w:left w:val="none" w:sz="0" w:space="0" w:color="auto"/>
                                <w:bottom w:val="none" w:sz="0" w:space="0" w:color="auto"/>
                                <w:right w:val="none" w:sz="0" w:space="0" w:color="auto"/>
                              </w:divBdr>
                            </w:div>
                            <w:div w:id="884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footer" Target="footer10.xml"/><Relationship Id="rId39" Type="http://schemas.openxmlformats.org/officeDocument/2006/relationships/chart" Target="charts/chart9.xml"/><Relationship Id="rId21" Type="http://schemas.openxmlformats.org/officeDocument/2006/relationships/footer" Target="footer7.xml"/><Relationship Id="rId34" Type="http://schemas.microsoft.com/office/2007/relationships/hdphoto" Target="media/hdphoto1.wdp"/><Relationship Id="rId42" Type="http://schemas.openxmlformats.org/officeDocument/2006/relationships/footer" Target="footer15.xm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chart" Target="charts/chart8.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image" Target="media/image6.png"/><Relationship Id="rId37" Type="http://schemas.openxmlformats.org/officeDocument/2006/relationships/footer" Target="footer12.xml"/><Relationship Id="rId40" Type="http://schemas.openxmlformats.org/officeDocument/2006/relationships/header" Target="header3.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4.xml"/><Relationship Id="rId28" Type="http://schemas.openxmlformats.org/officeDocument/2006/relationships/chart" Target="charts/chart7.xml"/><Relationship Id="rId36" Type="http://schemas.openxmlformats.org/officeDocument/2006/relationships/hyperlink" Target="http://www.who.int/nutrition/topics/FFA_human_nutrition/en/" TargetMode="External"/><Relationship Id="rId49"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hyperlink" Target="http://www.health.govt.nz/publication/focus-nutrition-key-findings-2008-09-nz-adult-nutrition-survey" TargetMode="External"/><Relationship Id="rId44" Type="http://schemas.openxmlformats.org/officeDocument/2006/relationships/hyperlink" Target="http://www.hc-sc.gc.ca/fn-an/nutrition/gras-trans-fats/tfa-age_four-data_quatr-donn-eng.ph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chart" Target="charts/chart6.xml"/><Relationship Id="rId30" Type="http://schemas.openxmlformats.org/officeDocument/2006/relationships/footer" Target="footer11.xml"/><Relationship Id="rId35" Type="http://schemas.openxmlformats.org/officeDocument/2006/relationships/image" Target="media/image8.png"/><Relationship Id="rId43" Type="http://schemas.openxmlformats.org/officeDocument/2006/relationships/footer" Target="footer16.xm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chart" Target="charts/chart5.xml"/><Relationship Id="rId33" Type="http://schemas.openxmlformats.org/officeDocument/2006/relationships/image" Target="media/image7.png"/><Relationship Id="rId38" Type="http://schemas.openxmlformats.org/officeDocument/2006/relationships/footer" Target="footer13.xml"/><Relationship Id="rId46" Type="http://schemas.openxmlformats.org/officeDocument/2006/relationships/footer" Target="footer18.xml"/><Relationship Id="rId20" Type="http://schemas.openxmlformats.org/officeDocument/2006/relationships/chart" Target="charts/chart3.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science/monitoringnutrients/Pages/Monitoring-of-trans-fatty-acids.aspx" TargetMode="External"/><Relationship Id="rId2" Type="http://schemas.openxmlformats.org/officeDocument/2006/relationships/hyperlink" Target="http://www.foodstandards.gov.au/science/monitoringnutrients/Pages/Monitoring-of-trans-fatty-acids.aspx" TargetMode="External"/><Relationship Id="rId1" Type="http://schemas.openxmlformats.org/officeDocument/2006/relationships/hyperlink" Target="http://www.foodlabellingreview.gov.au/internet/foodlabelling/publishing.nsf/content/home"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file\Data\Strategic%20Science%20and%20Surveillance\SECTION\Surveillance\Surveys\Trans%20fatty%20acids\2013%20TFA%20survey\Results\Summary%20Results\Report%20Tables%20&amp;%20Graphs\2013,%202009,%202005-7%20resul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sfile\Data\Strategic%20Science%20and%20Surveillance\SECTION\Surveillance\Surveys\Trans%20fatty%20acids\2013%20TFA%20survey\Results\Summary%20Results\Report%20Tables%20&amp;%20Graphs\2013,%202009,%202005-7%20result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sfile\Data\Strategic%20Science%20and%20Surveillance\SECTION\Surveillance\Surveys\Trans%20fatty%20acids\2013%20TFA%20survey\Results\Summary%20Results\Report%20Tables%20&amp;%20Graphs\2013,%202009,%202005-7%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file\Data\Strategic%20Science%20and%20Surveillance\SECTION\Surveillance\Surveys\Trans%20fatty%20acids\2013%20TFA%20survey\Results\Summary%20Results\Report%20Tables%20&amp;%20Graphs\2013,%202009,%202005-7%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file\Data\Strategic%20Science%20and%20Surveillance\SECTION\Surveillance\Surveys\Trans%20fatty%20acids\2013%20TFA%20survey\Results\Summary%20Results\Report%20Tables%20&amp;%20Graphs\2013,%202009,%202005-7%20results.xlsx"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fsfile\Data\Strategic%20Science%20and%20Surveillance\SECTION\Surveillance\Surveys\Trans%20fatty%20acids\2013%20TFA%20survey\Results\Summary%20Results\Report%20Tables%20&amp;%20Graphs\2013,%202009,%202005-7%20results.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fsfile\Data\Strategic%20Science%20and%20Surveillance\SECTION\Surveillance\Surveys\Trans%20fatty%20acids\2013%20TFA%20survey\Results\Summary%20Results\Report%20Tables%20&amp;%20Graphs\2013,%202009,%202005-7%20results.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fsfile\Data\Strategic%20Science%20and%20Surveillance\SECTION\Surveillance\Surveys\Trans%20fatty%20acids\2013%20TFA%20survey\Results\Summary%20Results\Report%20Tables%20&amp;%20Graphs\2013,%202009,%202005-7%20results.xlsx" TargetMode="External"/><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626479043857328E-2"/>
          <c:y val="3.4806680023026393E-2"/>
          <c:w val="0.94337348948132749"/>
          <c:h val="0.73134564369124078"/>
        </c:manualLayout>
      </c:layout>
      <c:barChart>
        <c:barDir val="col"/>
        <c:grouping val="stacked"/>
        <c:varyColors val="0"/>
        <c:ser>
          <c:idx val="0"/>
          <c:order val="0"/>
          <c:spPr>
            <a:noFill/>
          </c:spPr>
          <c:invertIfNegative val="0"/>
          <c:errBars>
            <c:errBarType val="minus"/>
            <c:errValType val="cust"/>
            <c:noEndCap val="0"/>
            <c:plus>
              <c:numLit>
                <c:formatCode>General</c:formatCode>
                <c:ptCount val="1"/>
                <c:pt idx="0">
                  <c:v>1</c:v>
                </c:pt>
              </c:numLit>
            </c:plus>
            <c:minus>
              <c:numRef>
                <c:f>'TFA &amp; SFA Box Plots'!$AJ$4:$AJ$30</c:f>
                <c:numCache>
                  <c:formatCode>General</c:formatCode>
                  <c:ptCount val="20"/>
                  <c:pt idx="0">
                    <c:v>6.0000000000000012E-2</c:v>
                  </c:pt>
                  <c:pt idx="1">
                    <c:v>0</c:v>
                  </c:pt>
                  <c:pt idx="2">
                    <c:v>6.0000000000000012E-2</c:v>
                  </c:pt>
                  <c:pt idx="3">
                    <c:v>6.0000000000000026E-2</c:v>
                  </c:pt>
                  <c:pt idx="4">
                    <c:v>0</c:v>
                  </c:pt>
                  <c:pt idx="5">
                    <c:v>0.10707749999999994</c:v>
                  </c:pt>
                  <c:pt idx="6">
                    <c:v>0</c:v>
                  </c:pt>
                  <c:pt idx="7">
                    <c:v>8.9100000000000013E-3</c:v>
                  </c:pt>
                  <c:pt idx="8">
                    <c:v>0</c:v>
                  </c:pt>
                  <c:pt idx="9">
                    <c:v>5.1083499999999997E-2</c:v>
                  </c:pt>
                  <c:pt idx="10">
                    <c:v>0</c:v>
                  </c:pt>
                  <c:pt idx="11">
                    <c:v>0</c:v>
                  </c:pt>
                  <c:pt idx="12">
                    <c:v>0</c:v>
                  </c:pt>
                  <c:pt idx="13">
                    <c:v>0.03</c:v>
                  </c:pt>
                  <c:pt idx="14">
                    <c:v>0</c:v>
                  </c:pt>
                  <c:pt idx="15">
                    <c:v>2.6820000000000008E-3</c:v>
                  </c:pt>
                  <c:pt idx="16">
                    <c:v>0</c:v>
                  </c:pt>
                  <c:pt idx="17">
                    <c:v>9.4050000000000019E-3</c:v>
                  </c:pt>
                  <c:pt idx="18">
                    <c:v>0</c:v>
                  </c:pt>
                  <c:pt idx="19">
                    <c:v>1.8000000000000002E-2</c:v>
                  </c:pt>
                </c:numCache>
              </c:numRef>
            </c:minus>
          </c:errBars>
          <c:cat>
            <c:strRef>
              <c:f>'TFA &amp; SFA Box Plots'!$C$4:$C$30</c:f>
              <c:strCache>
                <c:ptCount val="20"/>
                <c:pt idx="0">
                  <c:v>Chocolate Biscuits</c:v>
                </c:pt>
                <c:pt idx="1">
                  <c:v>Chocolate Biscuits</c:v>
                </c:pt>
                <c:pt idx="2">
                  <c:v>Cream Biscuits</c:v>
                </c:pt>
                <c:pt idx="3">
                  <c:v>Cream Biscuits</c:v>
                </c:pt>
                <c:pt idx="4">
                  <c:v>Croissant</c:v>
                </c:pt>
                <c:pt idx="5">
                  <c:v>Croissant</c:v>
                </c:pt>
                <c:pt idx="6">
                  <c:v>Custard Danish</c:v>
                </c:pt>
                <c:pt idx="7">
                  <c:v>Custard Baked Goods</c:v>
                </c:pt>
                <c:pt idx="8">
                  <c:v>Donut</c:v>
                </c:pt>
                <c:pt idx="9">
                  <c:v>Donut</c:v>
                </c:pt>
                <c:pt idx="10">
                  <c:v>Pikelets/Pancakes</c:v>
                </c:pt>
                <c:pt idx="11">
                  <c:v>Pikelets/Pancakes</c:v>
                </c:pt>
                <c:pt idx="12">
                  <c:v>Prepared Pastry</c:v>
                </c:pt>
                <c:pt idx="13">
                  <c:v>Prepared Pastry</c:v>
                </c:pt>
                <c:pt idx="14">
                  <c:v>Savoury Biscuits</c:v>
                </c:pt>
                <c:pt idx="15">
                  <c:v>Savoury Biscuits- Standard</c:v>
                </c:pt>
                <c:pt idx="16">
                  <c:v>Shelf Stable Cakes</c:v>
                </c:pt>
                <c:pt idx="17">
                  <c:v>Shelf Stable Cakes</c:v>
                </c:pt>
                <c:pt idx="18">
                  <c:v>Muffins</c:v>
                </c:pt>
                <c:pt idx="19">
                  <c:v>Sweet Muffins &amp; Banana Bread</c:v>
                </c:pt>
              </c:strCache>
            </c:strRef>
          </c:cat>
          <c:val>
            <c:numRef>
              <c:f>'TFA &amp; SFA Box Plots'!$AE$4:$AE$30</c:f>
              <c:numCache>
                <c:formatCode>General</c:formatCode>
                <c:ptCount val="20"/>
                <c:pt idx="0">
                  <c:v>6.0000000000000012E-2</c:v>
                </c:pt>
                <c:pt idx="1">
                  <c:v>0</c:v>
                </c:pt>
                <c:pt idx="2">
                  <c:v>6.0000000000000012E-2</c:v>
                </c:pt>
                <c:pt idx="3">
                  <c:v>0.16000000000000003</c:v>
                </c:pt>
                <c:pt idx="4">
                  <c:v>0.2</c:v>
                </c:pt>
                <c:pt idx="5">
                  <c:v>0.53302749999999999</c:v>
                </c:pt>
                <c:pt idx="6">
                  <c:v>0</c:v>
                </c:pt>
                <c:pt idx="7">
                  <c:v>0.14910999999999999</c:v>
                </c:pt>
                <c:pt idx="8">
                  <c:v>0</c:v>
                </c:pt>
                <c:pt idx="9">
                  <c:v>5.8213499999999994E-2</c:v>
                </c:pt>
                <c:pt idx="10">
                  <c:v>0</c:v>
                </c:pt>
                <c:pt idx="11">
                  <c:v>0</c:v>
                </c:pt>
                <c:pt idx="12">
                  <c:v>0</c:v>
                </c:pt>
                <c:pt idx="13">
                  <c:v>0.23</c:v>
                </c:pt>
                <c:pt idx="14">
                  <c:v>0</c:v>
                </c:pt>
                <c:pt idx="15">
                  <c:v>4.8820000000000009E-3</c:v>
                </c:pt>
                <c:pt idx="16">
                  <c:v>0</c:v>
                </c:pt>
                <c:pt idx="17">
                  <c:v>9.4050000000000019E-3</c:v>
                </c:pt>
                <c:pt idx="18">
                  <c:v>0</c:v>
                </c:pt>
                <c:pt idx="19">
                  <c:v>6.8000000000000005E-2</c:v>
                </c:pt>
              </c:numCache>
            </c:numRef>
          </c:val>
        </c:ser>
        <c:ser>
          <c:idx val="1"/>
          <c:order val="1"/>
          <c:spPr>
            <a:pattFill prst="pct10">
              <a:fgClr>
                <a:schemeClr val="tx1"/>
              </a:fgClr>
              <a:bgClr>
                <a:schemeClr val="bg1"/>
              </a:bgClr>
            </a:pattFill>
            <a:ln>
              <a:solidFill>
                <a:sysClr val="windowText" lastClr="000000"/>
              </a:solidFill>
            </a:ln>
          </c:spPr>
          <c:invertIfNegative val="0"/>
          <c:dPt>
            <c:idx val="1"/>
            <c:invertIfNegative val="0"/>
            <c:bubble3D val="0"/>
            <c:spPr>
              <a:pattFill prst="ltDnDiag">
                <a:fgClr>
                  <a:schemeClr val="tx1"/>
                </a:fgClr>
                <a:bgClr>
                  <a:schemeClr val="bg1"/>
                </a:bgClr>
              </a:pattFill>
              <a:ln>
                <a:solidFill>
                  <a:sysClr val="windowText" lastClr="000000"/>
                </a:solidFill>
              </a:ln>
            </c:spPr>
          </c:dPt>
          <c:dPt>
            <c:idx val="3"/>
            <c:invertIfNegative val="0"/>
            <c:bubble3D val="0"/>
            <c:spPr>
              <a:pattFill prst="ltDnDiag">
                <a:fgClr>
                  <a:schemeClr val="tx1"/>
                </a:fgClr>
                <a:bgClr>
                  <a:schemeClr val="bg1"/>
                </a:bgClr>
              </a:pattFill>
              <a:ln>
                <a:solidFill>
                  <a:sysClr val="windowText" lastClr="000000"/>
                </a:solidFill>
              </a:ln>
            </c:spPr>
          </c:dPt>
          <c:dPt>
            <c:idx val="5"/>
            <c:invertIfNegative val="0"/>
            <c:bubble3D val="0"/>
            <c:spPr>
              <a:pattFill prst="ltDnDiag">
                <a:fgClr>
                  <a:schemeClr val="tx1"/>
                </a:fgClr>
                <a:bgClr>
                  <a:schemeClr val="bg1"/>
                </a:bgClr>
              </a:pattFill>
              <a:ln>
                <a:solidFill>
                  <a:sysClr val="windowText" lastClr="000000"/>
                </a:solidFill>
              </a:ln>
            </c:spPr>
          </c:dPt>
          <c:dPt>
            <c:idx val="7"/>
            <c:invertIfNegative val="0"/>
            <c:bubble3D val="0"/>
            <c:spPr>
              <a:pattFill prst="ltDnDiag">
                <a:fgClr>
                  <a:schemeClr val="tx1"/>
                </a:fgClr>
                <a:bgClr>
                  <a:schemeClr val="bg1"/>
                </a:bgClr>
              </a:pattFill>
              <a:ln>
                <a:solidFill>
                  <a:sysClr val="windowText" lastClr="000000"/>
                </a:solidFill>
              </a:ln>
            </c:spPr>
          </c:dPt>
          <c:dPt>
            <c:idx val="9"/>
            <c:invertIfNegative val="0"/>
            <c:bubble3D val="0"/>
            <c:spPr>
              <a:pattFill prst="ltDnDiag">
                <a:fgClr>
                  <a:schemeClr val="tx1"/>
                </a:fgClr>
                <a:bgClr>
                  <a:schemeClr val="bg1"/>
                </a:bgClr>
              </a:pattFill>
              <a:ln>
                <a:solidFill>
                  <a:sysClr val="windowText" lastClr="000000"/>
                </a:solidFill>
              </a:ln>
            </c:spPr>
          </c:dPt>
          <c:dPt>
            <c:idx val="13"/>
            <c:invertIfNegative val="0"/>
            <c:bubble3D val="0"/>
            <c:spPr>
              <a:pattFill prst="ltDnDiag">
                <a:fgClr>
                  <a:schemeClr val="tx1"/>
                </a:fgClr>
                <a:bgClr>
                  <a:schemeClr val="bg1"/>
                </a:bgClr>
              </a:pattFill>
              <a:ln>
                <a:solidFill>
                  <a:sysClr val="windowText" lastClr="000000"/>
                </a:solidFill>
              </a:ln>
            </c:spPr>
          </c:dPt>
          <c:dPt>
            <c:idx val="15"/>
            <c:invertIfNegative val="0"/>
            <c:bubble3D val="0"/>
            <c:spPr>
              <a:pattFill prst="ltDnDiag">
                <a:fgClr>
                  <a:schemeClr val="tx1"/>
                </a:fgClr>
                <a:bgClr>
                  <a:schemeClr val="bg1"/>
                </a:bgClr>
              </a:pattFill>
              <a:ln>
                <a:solidFill>
                  <a:sysClr val="windowText" lastClr="000000"/>
                </a:solidFill>
              </a:ln>
            </c:spPr>
          </c:dPt>
          <c:dPt>
            <c:idx val="17"/>
            <c:invertIfNegative val="0"/>
            <c:bubble3D val="0"/>
            <c:spPr>
              <a:pattFill prst="ltDnDiag">
                <a:fgClr>
                  <a:schemeClr val="tx1"/>
                </a:fgClr>
                <a:bgClr>
                  <a:schemeClr val="bg1"/>
                </a:bgClr>
              </a:pattFill>
              <a:ln>
                <a:solidFill>
                  <a:sysClr val="windowText" lastClr="000000"/>
                </a:solidFill>
              </a:ln>
            </c:spPr>
          </c:dPt>
          <c:dPt>
            <c:idx val="19"/>
            <c:invertIfNegative val="0"/>
            <c:bubble3D val="0"/>
            <c:spPr>
              <a:pattFill prst="ltDnDiag">
                <a:fgClr>
                  <a:schemeClr val="tx1"/>
                </a:fgClr>
                <a:bgClr>
                  <a:schemeClr val="bg1"/>
                </a:bgClr>
              </a:pattFill>
              <a:ln>
                <a:solidFill>
                  <a:sysClr val="windowText" lastClr="000000"/>
                </a:solidFill>
              </a:ln>
            </c:spPr>
          </c:dPt>
          <c:cat>
            <c:strRef>
              <c:f>'TFA &amp; SFA Box Plots'!$C$4:$C$30</c:f>
              <c:strCache>
                <c:ptCount val="20"/>
                <c:pt idx="0">
                  <c:v>Chocolate Biscuits</c:v>
                </c:pt>
                <c:pt idx="1">
                  <c:v>Chocolate Biscuits</c:v>
                </c:pt>
                <c:pt idx="2">
                  <c:v>Cream Biscuits</c:v>
                </c:pt>
                <c:pt idx="3">
                  <c:v>Cream Biscuits</c:v>
                </c:pt>
                <c:pt idx="4">
                  <c:v>Croissant</c:v>
                </c:pt>
                <c:pt idx="5">
                  <c:v>Croissant</c:v>
                </c:pt>
                <c:pt idx="6">
                  <c:v>Custard Danish</c:v>
                </c:pt>
                <c:pt idx="7">
                  <c:v>Custard Baked Goods</c:v>
                </c:pt>
                <c:pt idx="8">
                  <c:v>Donut</c:v>
                </c:pt>
                <c:pt idx="9">
                  <c:v>Donut</c:v>
                </c:pt>
                <c:pt idx="10">
                  <c:v>Pikelets/Pancakes</c:v>
                </c:pt>
                <c:pt idx="11">
                  <c:v>Pikelets/Pancakes</c:v>
                </c:pt>
                <c:pt idx="12">
                  <c:v>Prepared Pastry</c:v>
                </c:pt>
                <c:pt idx="13">
                  <c:v>Prepared Pastry</c:v>
                </c:pt>
                <c:pt idx="14">
                  <c:v>Savoury Biscuits</c:v>
                </c:pt>
                <c:pt idx="15">
                  <c:v>Savoury Biscuits- Standard</c:v>
                </c:pt>
                <c:pt idx="16">
                  <c:v>Shelf Stable Cakes</c:v>
                </c:pt>
                <c:pt idx="17">
                  <c:v>Shelf Stable Cakes</c:v>
                </c:pt>
                <c:pt idx="18">
                  <c:v>Muffins</c:v>
                </c:pt>
                <c:pt idx="19">
                  <c:v>Sweet Muffins &amp; Banana Bread</c:v>
                </c:pt>
              </c:strCache>
            </c:strRef>
          </c:cat>
          <c:val>
            <c:numRef>
              <c:f>'TFA &amp; SFA Box Plots'!$AF$4:$AF$30</c:f>
              <c:numCache>
                <c:formatCode>General</c:formatCode>
                <c:ptCount val="20"/>
                <c:pt idx="0">
                  <c:v>0.14000000000000001</c:v>
                </c:pt>
                <c:pt idx="1">
                  <c:v>0.25668000000000002</c:v>
                </c:pt>
                <c:pt idx="2">
                  <c:v>0.24</c:v>
                </c:pt>
                <c:pt idx="3">
                  <c:v>9.3519999999999992E-2</c:v>
                </c:pt>
                <c:pt idx="4">
                  <c:v>0.8</c:v>
                </c:pt>
                <c:pt idx="5">
                  <c:v>0.48834749999999993</c:v>
                </c:pt>
                <c:pt idx="6">
                  <c:v>0.6</c:v>
                </c:pt>
                <c:pt idx="7">
                  <c:v>0.43370000000000009</c:v>
                </c:pt>
                <c:pt idx="8">
                  <c:v>0.39</c:v>
                </c:pt>
                <c:pt idx="9">
                  <c:v>0.329569</c:v>
                </c:pt>
                <c:pt idx="10">
                  <c:v>0</c:v>
                </c:pt>
                <c:pt idx="11">
                  <c:v>0</c:v>
                </c:pt>
                <c:pt idx="12">
                  <c:v>1.4</c:v>
                </c:pt>
                <c:pt idx="13">
                  <c:v>0.72740000000000005</c:v>
                </c:pt>
                <c:pt idx="14">
                  <c:v>0.1</c:v>
                </c:pt>
                <c:pt idx="15">
                  <c:v>0.19511800000000001</c:v>
                </c:pt>
                <c:pt idx="16">
                  <c:v>0.1</c:v>
                </c:pt>
                <c:pt idx="17">
                  <c:v>0.11531000000000001</c:v>
                </c:pt>
                <c:pt idx="18">
                  <c:v>0.1</c:v>
                </c:pt>
                <c:pt idx="19">
                  <c:v>0.13200000000000001</c:v>
                </c:pt>
              </c:numCache>
            </c:numRef>
          </c:val>
        </c:ser>
        <c:ser>
          <c:idx val="2"/>
          <c:order val="2"/>
          <c:spPr>
            <a:solidFill>
              <a:schemeClr val="accent1"/>
            </a:solidFill>
            <a:ln>
              <a:solidFill>
                <a:sysClr val="windowText" lastClr="000000"/>
              </a:solidFill>
            </a:ln>
          </c:spPr>
          <c:invertIfNegative val="0"/>
          <c:dPt>
            <c:idx val="0"/>
            <c:invertIfNegative val="0"/>
            <c:bubble3D val="0"/>
            <c:spPr>
              <a:pattFill prst="pct10">
                <a:fgClr>
                  <a:schemeClr val="tx1"/>
                </a:fgClr>
                <a:bgClr>
                  <a:schemeClr val="bg1"/>
                </a:bgClr>
              </a:pattFill>
              <a:ln>
                <a:solidFill>
                  <a:sysClr val="windowText" lastClr="000000"/>
                </a:solidFill>
              </a:ln>
            </c:spPr>
          </c:dPt>
          <c:dPt>
            <c:idx val="1"/>
            <c:invertIfNegative val="0"/>
            <c:bubble3D val="0"/>
            <c:spPr>
              <a:pattFill prst="ltDnDiag">
                <a:fgClr>
                  <a:schemeClr val="tx1"/>
                </a:fgClr>
                <a:bgClr>
                  <a:schemeClr val="bg1"/>
                </a:bgClr>
              </a:pattFill>
              <a:ln>
                <a:solidFill>
                  <a:sysClr val="windowText" lastClr="000000"/>
                </a:solidFill>
              </a:ln>
            </c:spPr>
          </c:dPt>
          <c:dPt>
            <c:idx val="2"/>
            <c:invertIfNegative val="0"/>
            <c:bubble3D val="0"/>
            <c:spPr>
              <a:pattFill prst="pct10">
                <a:fgClr>
                  <a:schemeClr val="tx1"/>
                </a:fgClr>
                <a:bgClr>
                  <a:schemeClr val="bg1"/>
                </a:bgClr>
              </a:pattFill>
              <a:ln>
                <a:solidFill>
                  <a:sysClr val="windowText" lastClr="000000"/>
                </a:solidFill>
              </a:ln>
            </c:spPr>
          </c:dPt>
          <c:dPt>
            <c:idx val="3"/>
            <c:invertIfNegative val="0"/>
            <c:bubble3D val="0"/>
            <c:spPr>
              <a:pattFill prst="ltDnDiag">
                <a:fgClr>
                  <a:schemeClr val="tx1"/>
                </a:fgClr>
                <a:bgClr>
                  <a:schemeClr val="bg1"/>
                </a:bgClr>
              </a:pattFill>
              <a:ln>
                <a:solidFill>
                  <a:sysClr val="windowText" lastClr="000000"/>
                </a:solidFill>
              </a:ln>
            </c:spPr>
          </c:dPt>
          <c:dPt>
            <c:idx val="4"/>
            <c:invertIfNegative val="0"/>
            <c:bubble3D val="0"/>
            <c:spPr>
              <a:pattFill prst="pct10">
                <a:fgClr>
                  <a:schemeClr val="tx1"/>
                </a:fgClr>
                <a:bgClr>
                  <a:schemeClr val="bg1"/>
                </a:bgClr>
              </a:pattFill>
              <a:ln>
                <a:solidFill>
                  <a:sysClr val="windowText" lastClr="000000"/>
                </a:solidFill>
              </a:ln>
            </c:spPr>
          </c:dPt>
          <c:dPt>
            <c:idx val="5"/>
            <c:invertIfNegative val="0"/>
            <c:bubble3D val="0"/>
            <c:spPr>
              <a:pattFill prst="ltDnDiag">
                <a:fgClr>
                  <a:schemeClr val="tx1"/>
                </a:fgClr>
                <a:bgClr>
                  <a:schemeClr val="bg1"/>
                </a:bgClr>
              </a:pattFill>
              <a:ln>
                <a:solidFill>
                  <a:sysClr val="windowText" lastClr="000000"/>
                </a:solidFill>
              </a:ln>
            </c:spPr>
          </c:dPt>
          <c:dPt>
            <c:idx val="6"/>
            <c:invertIfNegative val="0"/>
            <c:bubble3D val="0"/>
            <c:spPr>
              <a:pattFill prst="pct10">
                <a:fgClr>
                  <a:schemeClr val="tx1"/>
                </a:fgClr>
                <a:bgClr>
                  <a:schemeClr val="bg1"/>
                </a:bgClr>
              </a:pattFill>
              <a:ln>
                <a:solidFill>
                  <a:sysClr val="windowText" lastClr="000000"/>
                </a:solidFill>
              </a:ln>
            </c:spPr>
          </c:dPt>
          <c:dPt>
            <c:idx val="7"/>
            <c:invertIfNegative val="0"/>
            <c:bubble3D val="0"/>
            <c:spPr>
              <a:pattFill prst="ltDnDiag">
                <a:fgClr>
                  <a:schemeClr val="tx1"/>
                </a:fgClr>
                <a:bgClr>
                  <a:schemeClr val="bg1"/>
                </a:bgClr>
              </a:pattFill>
              <a:ln>
                <a:solidFill>
                  <a:sysClr val="windowText" lastClr="000000"/>
                </a:solidFill>
              </a:ln>
            </c:spPr>
          </c:dPt>
          <c:dPt>
            <c:idx val="8"/>
            <c:invertIfNegative val="0"/>
            <c:bubble3D val="0"/>
            <c:spPr>
              <a:pattFill prst="pct10">
                <a:fgClr>
                  <a:schemeClr val="tx1"/>
                </a:fgClr>
                <a:bgClr>
                  <a:schemeClr val="bg1"/>
                </a:bgClr>
              </a:pattFill>
              <a:ln>
                <a:solidFill>
                  <a:sysClr val="windowText" lastClr="000000"/>
                </a:solidFill>
              </a:ln>
            </c:spPr>
          </c:dPt>
          <c:dPt>
            <c:idx val="9"/>
            <c:invertIfNegative val="0"/>
            <c:bubble3D val="0"/>
            <c:spPr>
              <a:pattFill prst="ltDnDiag">
                <a:fgClr>
                  <a:schemeClr val="tx1"/>
                </a:fgClr>
                <a:bgClr>
                  <a:schemeClr val="bg1"/>
                </a:bgClr>
              </a:pattFill>
              <a:ln>
                <a:solidFill>
                  <a:sysClr val="windowText" lastClr="000000"/>
                </a:solidFill>
              </a:ln>
            </c:spPr>
          </c:dPt>
          <c:dPt>
            <c:idx val="10"/>
            <c:invertIfNegative val="0"/>
            <c:bubble3D val="0"/>
            <c:spPr>
              <a:pattFill prst="pct10">
                <a:fgClr>
                  <a:schemeClr val="tx1"/>
                </a:fgClr>
                <a:bgClr>
                  <a:schemeClr val="bg1"/>
                </a:bgClr>
              </a:pattFill>
              <a:ln>
                <a:solidFill>
                  <a:sysClr val="windowText" lastClr="000000"/>
                </a:solidFill>
              </a:ln>
            </c:spPr>
          </c:dPt>
          <c:dPt>
            <c:idx val="11"/>
            <c:invertIfNegative val="0"/>
            <c:bubble3D val="0"/>
            <c:spPr>
              <a:pattFill prst="ltDnDiag">
                <a:fgClr>
                  <a:schemeClr val="tx1"/>
                </a:fgClr>
                <a:bgClr>
                  <a:schemeClr val="bg1"/>
                </a:bgClr>
              </a:pattFill>
              <a:ln>
                <a:solidFill>
                  <a:sysClr val="windowText" lastClr="000000"/>
                </a:solidFill>
              </a:ln>
            </c:spPr>
          </c:dPt>
          <c:dPt>
            <c:idx val="12"/>
            <c:invertIfNegative val="0"/>
            <c:bubble3D val="0"/>
            <c:spPr>
              <a:pattFill prst="pct10">
                <a:fgClr>
                  <a:schemeClr val="tx1"/>
                </a:fgClr>
                <a:bgClr>
                  <a:schemeClr val="bg1"/>
                </a:bgClr>
              </a:pattFill>
              <a:ln>
                <a:solidFill>
                  <a:sysClr val="windowText" lastClr="000000"/>
                </a:solidFill>
              </a:ln>
            </c:spPr>
          </c:dPt>
          <c:dPt>
            <c:idx val="13"/>
            <c:invertIfNegative val="0"/>
            <c:bubble3D val="0"/>
            <c:spPr>
              <a:pattFill prst="ltDnDiag">
                <a:fgClr>
                  <a:schemeClr val="tx1"/>
                </a:fgClr>
                <a:bgClr>
                  <a:schemeClr val="bg1"/>
                </a:bgClr>
              </a:pattFill>
              <a:ln>
                <a:solidFill>
                  <a:sysClr val="windowText" lastClr="000000"/>
                </a:solidFill>
              </a:ln>
            </c:spPr>
          </c:dPt>
          <c:dPt>
            <c:idx val="14"/>
            <c:invertIfNegative val="0"/>
            <c:bubble3D val="0"/>
            <c:spPr>
              <a:pattFill prst="pct10">
                <a:fgClr>
                  <a:schemeClr val="tx1"/>
                </a:fgClr>
                <a:bgClr>
                  <a:schemeClr val="bg1"/>
                </a:bgClr>
              </a:pattFill>
              <a:ln>
                <a:solidFill>
                  <a:sysClr val="windowText" lastClr="000000"/>
                </a:solidFill>
              </a:ln>
            </c:spPr>
          </c:dPt>
          <c:dPt>
            <c:idx val="15"/>
            <c:invertIfNegative val="0"/>
            <c:bubble3D val="0"/>
            <c:spPr>
              <a:pattFill prst="ltDnDiag">
                <a:fgClr>
                  <a:schemeClr val="tx1"/>
                </a:fgClr>
                <a:bgClr>
                  <a:schemeClr val="bg1"/>
                </a:bgClr>
              </a:pattFill>
              <a:ln>
                <a:solidFill>
                  <a:sysClr val="windowText" lastClr="000000"/>
                </a:solidFill>
              </a:ln>
            </c:spPr>
          </c:dPt>
          <c:dPt>
            <c:idx val="16"/>
            <c:invertIfNegative val="0"/>
            <c:bubble3D val="0"/>
            <c:spPr>
              <a:pattFill prst="pct10">
                <a:fgClr>
                  <a:schemeClr val="tx1"/>
                </a:fgClr>
                <a:bgClr>
                  <a:schemeClr val="bg1"/>
                </a:bgClr>
              </a:pattFill>
              <a:ln>
                <a:solidFill>
                  <a:sysClr val="windowText" lastClr="000000"/>
                </a:solidFill>
              </a:ln>
            </c:spPr>
          </c:dPt>
          <c:dPt>
            <c:idx val="17"/>
            <c:invertIfNegative val="0"/>
            <c:bubble3D val="0"/>
            <c:spPr>
              <a:pattFill prst="ltDnDiag">
                <a:fgClr>
                  <a:schemeClr val="tx1"/>
                </a:fgClr>
                <a:bgClr>
                  <a:schemeClr val="bg1"/>
                </a:bgClr>
              </a:pattFill>
              <a:ln>
                <a:solidFill>
                  <a:sysClr val="windowText" lastClr="000000"/>
                </a:solidFill>
              </a:ln>
            </c:spPr>
          </c:dPt>
          <c:dPt>
            <c:idx val="18"/>
            <c:invertIfNegative val="0"/>
            <c:bubble3D val="0"/>
            <c:spPr>
              <a:pattFill prst="pct10">
                <a:fgClr>
                  <a:schemeClr val="tx1"/>
                </a:fgClr>
                <a:bgClr>
                  <a:schemeClr val="bg1"/>
                </a:bgClr>
              </a:pattFill>
              <a:ln>
                <a:solidFill>
                  <a:sysClr val="windowText" lastClr="000000"/>
                </a:solidFill>
              </a:ln>
            </c:spPr>
          </c:dPt>
          <c:dPt>
            <c:idx val="19"/>
            <c:invertIfNegative val="0"/>
            <c:bubble3D val="0"/>
            <c:spPr>
              <a:pattFill prst="ltDnDiag">
                <a:fgClr>
                  <a:schemeClr val="tx1"/>
                </a:fgClr>
                <a:bgClr>
                  <a:schemeClr val="bg1"/>
                </a:bgClr>
              </a:pattFill>
              <a:ln>
                <a:solidFill>
                  <a:sysClr val="windowText" lastClr="000000"/>
                </a:solidFill>
              </a:ln>
            </c:spPr>
          </c:dPt>
          <c:errBars>
            <c:errBarType val="plus"/>
            <c:errValType val="cust"/>
            <c:noEndCap val="0"/>
            <c:plus>
              <c:numRef>
                <c:f>'TFA &amp; SFA Box Plots'!$AI$4:$AI$30</c:f>
                <c:numCache>
                  <c:formatCode>General</c:formatCode>
                  <c:ptCount val="20"/>
                  <c:pt idx="0">
                    <c:v>4.8000000000000154E-2</c:v>
                  </c:pt>
                  <c:pt idx="1">
                    <c:v>0.17865500000000001</c:v>
                  </c:pt>
                  <c:pt idx="2">
                    <c:v>0.12000000000000033</c:v>
                  </c:pt>
                  <c:pt idx="3">
                    <c:v>0.42414000000000107</c:v>
                  </c:pt>
                  <c:pt idx="4">
                    <c:v>0</c:v>
                  </c:pt>
                  <c:pt idx="5">
                    <c:v>6.9657750000000185E-2</c:v>
                  </c:pt>
                  <c:pt idx="6">
                    <c:v>0</c:v>
                  </c:pt>
                  <c:pt idx="7">
                    <c:v>4.8105000000000064E-2</c:v>
                  </c:pt>
                  <c:pt idx="8">
                    <c:v>0.21600000000000019</c:v>
                  </c:pt>
                  <c:pt idx="9">
                    <c:v>7.5903100000000112E-2</c:v>
                  </c:pt>
                  <c:pt idx="10">
                    <c:v>0</c:v>
                  </c:pt>
                  <c:pt idx="11">
                    <c:v>0</c:v>
                  </c:pt>
                  <c:pt idx="12">
                    <c:v>0.54000000000000092</c:v>
                  </c:pt>
                  <c:pt idx="13">
                    <c:v>3.1228800000000057E-2</c:v>
                  </c:pt>
                  <c:pt idx="14">
                    <c:v>0.71500000000000097</c:v>
                  </c:pt>
                  <c:pt idx="15">
                    <c:v>0.27061800000000064</c:v>
                  </c:pt>
                  <c:pt idx="16">
                    <c:v>0.12000000000000027</c:v>
                  </c:pt>
                  <c:pt idx="17">
                    <c:v>0.11817999999999984</c:v>
                  </c:pt>
                  <c:pt idx="18">
                    <c:v>0</c:v>
                  </c:pt>
                  <c:pt idx="19">
                    <c:v>0.46029000000000098</c:v>
                  </c:pt>
                </c:numCache>
              </c:numRef>
            </c:plus>
            <c:minus>
              <c:numLit>
                <c:formatCode>General</c:formatCode>
                <c:ptCount val="1"/>
                <c:pt idx="0">
                  <c:v>1</c:v>
                </c:pt>
              </c:numLit>
            </c:minus>
          </c:errBars>
          <c:cat>
            <c:strRef>
              <c:f>'TFA &amp; SFA Box Plots'!$C$4:$C$30</c:f>
              <c:strCache>
                <c:ptCount val="20"/>
                <c:pt idx="0">
                  <c:v>Chocolate Biscuits</c:v>
                </c:pt>
                <c:pt idx="1">
                  <c:v>Chocolate Biscuits</c:v>
                </c:pt>
                <c:pt idx="2">
                  <c:v>Cream Biscuits</c:v>
                </c:pt>
                <c:pt idx="3">
                  <c:v>Cream Biscuits</c:v>
                </c:pt>
                <c:pt idx="4">
                  <c:v>Croissant</c:v>
                </c:pt>
                <c:pt idx="5">
                  <c:v>Croissant</c:v>
                </c:pt>
                <c:pt idx="6">
                  <c:v>Custard Danish</c:v>
                </c:pt>
                <c:pt idx="7">
                  <c:v>Custard Baked Goods</c:v>
                </c:pt>
                <c:pt idx="8">
                  <c:v>Donut</c:v>
                </c:pt>
                <c:pt idx="9">
                  <c:v>Donut</c:v>
                </c:pt>
                <c:pt idx="10">
                  <c:v>Pikelets/Pancakes</c:v>
                </c:pt>
                <c:pt idx="11">
                  <c:v>Pikelets/Pancakes</c:v>
                </c:pt>
                <c:pt idx="12">
                  <c:v>Prepared Pastry</c:v>
                </c:pt>
                <c:pt idx="13">
                  <c:v>Prepared Pastry</c:v>
                </c:pt>
                <c:pt idx="14">
                  <c:v>Savoury Biscuits</c:v>
                </c:pt>
                <c:pt idx="15">
                  <c:v>Savoury Biscuits- Standard</c:v>
                </c:pt>
                <c:pt idx="16">
                  <c:v>Shelf Stable Cakes</c:v>
                </c:pt>
                <c:pt idx="17">
                  <c:v>Shelf Stable Cakes</c:v>
                </c:pt>
                <c:pt idx="18">
                  <c:v>Muffins</c:v>
                </c:pt>
                <c:pt idx="19">
                  <c:v>Sweet Muffins &amp; Banana Bread</c:v>
                </c:pt>
              </c:strCache>
            </c:strRef>
          </c:cat>
          <c:val>
            <c:numRef>
              <c:f>'TFA &amp; SFA Box Plots'!$AG$4:$AG$30</c:f>
              <c:numCache>
                <c:formatCode>General</c:formatCode>
                <c:ptCount val="20"/>
                <c:pt idx="0">
                  <c:v>0.13199999999999984</c:v>
                </c:pt>
                <c:pt idx="1">
                  <c:v>0.62336499999999995</c:v>
                </c:pt>
                <c:pt idx="2">
                  <c:v>0.37999999999999973</c:v>
                </c:pt>
                <c:pt idx="3">
                  <c:v>1.021339999999999</c:v>
                </c:pt>
                <c:pt idx="4">
                  <c:v>0.39999999999999991</c:v>
                </c:pt>
                <c:pt idx="5">
                  <c:v>0.53527724999999982</c:v>
                </c:pt>
                <c:pt idx="6">
                  <c:v>0.6</c:v>
                </c:pt>
                <c:pt idx="7">
                  <c:v>0.2459849999999999</c:v>
                </c:pt>
                <c:pt idx="8">
                  <c:v>0.69399999999999984</c:v>
                </c:pt>
                <c:pt idx="9">
                  <c:v>0.44713839999999988</c:v>
                </c:pt>
                <c:pt idx="10">
                  <c:v>0.1</c:v>
                </c:pt>
                <c:pt idx="11">
                  <c:v>0.05</c:v>
                </c:pt>
                <c:pt idx="12">
                  <c:v>0.85999999999999899</c:v>
                </c:pt>
                <c:pt idx="13">
                  <c:v>0.54137119999999972</c:v>
                </c:pt>
                <c:pt idx="14">
                  <c:v>0.78499999999999914</c:v>
                </c:pt>
                <c:pt idx="15">
                  <c:v>0.28041199999999933</c:v>
                </c:pt>
                <c:pt idx="16">
                  <c:v>0.37999999999999967</c:v>
                </c:pt>
                <c:pt idx="17">
                  <c:v>0.57510500000000009</c:v>
                </c:pt>
                <c:pt idx="18">
                  <c:v>0.30000000000000004</c:v>
                </c:pt>
                <c:pt idx="19">
                  <c:v>0.43090999999999896</c:v>
                </c:pt>
              </c:numCache>
            </c:numRef>
          </c:val>
        </c:ser>
        <c:dLbls>
          <c:showLegendKey val="0"/>
          <c:showVal val="0"/>
          <c:showCatName val="0"/>
          <c:showSerName val="0"/>
          <c:showPercent val="0"/>
          <c:showBubbleSize val="0"/>
        </c:dLbls>
        <c:gapWidth val="15"/>
        <c:overlap val="100"/>
        <c:axId val="145818368"/>
        <c:axId val="146633472"/>
      </c:barChart>
      <c:catAx>
        <c:axId val="145818368"/>
        <c:scaling>
          <c:orientation val="minMax"/>
        </c:scaling>
        <c:delete val="1"/>
        <c:axPos val="b"/>
        <c:majorTickMark val="out"/>
        <c:minorTickMark val="none"/>
        <c:tickLblPos val="nextTo"/>
        <c:crossAx val="146633472"/>
        <c:crosses val="autoZero"/>
        <c:auto val="1"/>
        <c:lblAlgn val="ctr"/>
        <c:lblOffset val="100"/>
        <c:noMultiLvlLbl val="0"/>
      </c:catAx>
      <c:valAx>
        <c:axId val="146633472"/>
        <c:scaling>
          <c:orientation val="minMax"/>
        </c:scaling>
        <c:delete val="0"/>
        <c:axPos val="l"/>
        <c:title>
          <c:tx>
            <c:rich>
              <a:bodyPr rot="-5400000" vert="horz"/>
              <a:lstStyle/>
              <a:p>
                <a:pPr>
                  <a:defRPr sz="1200"/>
                </a:pPr>
                <a:r>
                  <a:rPr lang="en-GB" sz="1200"/>
                  <a:t>(</a:t>
                </a:r>
                <a:r>
                  <a:rPr lang="en-GB" sz="1200" b="1" i="0" u="none" strike="noStrike" kern="1200" baseline="0">
                    <a:solidFill>
                      <a:sysClr val="windowText" lastClr="000000"/>
                    </a:solidFill>
                    <a:latin typeface="+mn-lt"/>
                    <a:ea typeface="+mn-ea"/>
                    <a:cs typeface="+mn-cs"/>
                  </a:rPr>
                  <a:t>g / 100 g  </a:t>
                </a:r>
                <a:r>
                  <a:rPr lang="en-GB" sz="1200"/>
                  <a:t> food)</a:t>
                </a:r>
              </a:p>
            </c:rich>
          </c:tx>
          <c:layout/>
          <c:overlay val="0"/>
        </c:title>
        <c:numFmt formatCode="General" sourceLinked="1"/>
        <c:majorTickMark val="out"/>
        <c:minorTickMark val="none"/>
        <c:tickLblPos val="nextTo"/>
        <c:crossAx val="145818368"/>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771081499427955E-2"/>
          <c:y val="3.3070679248044403E-2"/>
          <c:w val="0.9386171379129723"/>
          <c:h val="0.7273616256460943"/>
        </c:manualLayout>
      </c:layout>
      <c:barChart>
        <c:barDir val="col"/>
        <c:grouping val="stacked"/>
        <c:varyColors val="0"/>
        <c:ser>
          <c:idx val="0"/>
          <c:order val="0"/>
          <c:spPr>
            <a:noFill/>
          </c:spPr>
          <c:invertIfNegative val="0"/>
          <c:errBars>
            <c:errBarType val="minus"/>
            <c:errValType val="cust"/>
            <c:noEndCap val="0"/>
            <c:plus>
              <c:numLit>
                <c:formatCode>General</c:formatCode>
                <c:ptCount val="1"/>
                <c:pt idx="0">
                  <c:v>1</c:v>
                </c:pt>
              </c:numLit>
            </c:plus>
            <c:minus>
              <c:numRef>
                <c:f>'TFA &amp; SFA Box Plots'!$AJ$31:$AJ$54</c:f>
                <c:numCache>
                  <c:formatCode>General</c:formatCode>
                  <c:ptCount val="20"/>
                  <c:pt idx="0">
                    <c:v>0.12</c:v>
                  </c:pt>
                  <c:pt idx="1">
                    <c:v>0.1925</c:v>
                  </c:pt>
                  <c:pt idx="2">
                    <c:v>8.0000000000000016E-2</c:v>
                  </c:pt>
                  <c:pt idx="3">
                    <c:v>8.4999999999999964E-2</c:v>
                  </c:pt>
                  <c:pt idx="4">
                    <c:v>3.9999999999999994E-2</c:v>
                  </c:pt>
                  <c:pt idx="5">
                    <c:v>3.4999999999999962E-3</c:v>
                  </c:pt>
                  <c:pt idx="6">
                    <c:v>0</c:v>
                  </c:pt>
                  <c:pt idx="7">
                    <c:v>9.955E-2</c:v>
                  </c:pt>
                  <c:pt idx="8">
                    <c:v>0.09</c:v>
                  </c:pt>
                  <c:pt idx="9">
                    <c:v>0.10182900000000002</c:v>
                  </c:pt>
                  <c:pt idx="10">
                    <c:v>1.999999999999999E-2</c:v>
                  </c:pt>
                  <c:pt idx="11">
                    <c:v>0</c:v>
                  </c:pt>
                  <c:pt idx="12">
                    <c:v>0</c:v>
                  </c:pt>
                  <c:pt idx="13">
                    <c:v>4.200000000000001E-2</c:v>
                  </c:pt>
                  <c:pt idx="14">
                    <c:v>0</c:v>
                  </c:pt>
                  <c:pt idx="15">
                    <c:v>0</c:v>
                  </c:pt>
                  <c:pt idx="16">
                    <c:v>0</c:v>
                  </c:pt>
                  <c:pt idx="17">
                    <c:v>0</c:v>
                  </c:pt>
                  <c:pt idx="18">
                    <c:v>1.9999999999999997E-2</c:v>
                  </c:pt>
                  <c:pt idx="19">
                    <c:v>0</c:v>
                  </c:pt>
                </c:numCache>
              </c:numRef>
            </c:minus>
          </c:errBars>
          <c:cat>
            <c:strRef>
              <c:f>'TFA &amp; SFA Box Plots'!$C$31:$C$54</c:f>
              <c:strCache>
                <c:ptCount val="20"/>
                <c:pt idx="0">
                  <c:v>Blended Edible Oils</c:v>
                </c:pt>
                <c:pt idx="1">
                  <c:v>Vegetable Oil</c:v>
                </c:pt>
                <c:pt idx="2">
                  <c:v>Edible Oil Spreads</c:v>
                </c:pt>
                <c:pt idx="3">
                  <c:v>Edible Oil Spreads</c:v>
                </c:pt>
                <c:pt idx="4">
                  <c:v>Oil Based Dressings</c:v>
                </c:pt>
                <c:pt idx="5">
                  <c:v>Oil Based Dressings</c:v>
                </c:pt>
                <c:pt idx="6">
                  <c:v>Meat Pies</c:v>
                </c:pt>
                <c:pt idx="7">
                  <c:v>Meat Pies</c:v>
                </c:pt>
                <c:pt idx="8">
                  <c:v>Sausage Rolls</c:v>
                </c:pt>
                <c:pt idx="9">
                  <c:v>Sausage Rolls</c:v>
                </c:pt>
                <c:pt idx="10">
                  <c:v>Dry Mix Pasta</c:v>
                </c:pt>
                <c:pt idx="11">
                  <c:v>Dry Mix Pasta</c:v>
                </c:pt>
                <c:pt idx="12">
                  <c:v>Nut Based Spreads</c:v>
                </c:pt>
                <c:pt idx="13">
                  <c:v>Nut Based Spreads</c:v>
                </c:pt>
                <c:pt idx="14">
                  <c:v>Sauces</c:v>
                </c:pt>
                <c:pt idx="15">
                  <c:v>Sauces</c:v>
                </c:pt>
                <c:pt idx="16">
                  <c:v>Breakfast Bars</c:v>
                </c:pt>
                <c:pt idx="17">
                  <c:v>Snack Bars</c:v>
                </c:pt>
                <c:pt idx="18">
                  <c:v>Toasted Style Muesli Cereal</c:v>
                </c:pt>
                <c:pt idx="19">
                  <c:v>Toasted Style Muesli Cereal</c:v>
                </c:pt>
              </c:strCache>
            </c:strRef>
          </c:cat>
          <c:val>
            <c:numRef>
              <c:f>'TFA &amp; SFA Box Plots'!$AE$31:$AE$54</c:f>
              <c:numCache>
                <c:formatCode>General</c:formatCode>
                <c:ptCount val="20"/>
                <c:pt idx="0">
                  <c:v>0.42</c:v>
                </c:pt>
                <c:pt idx="1">
                  <c:v>0.1925</c:v>
                </c:pt>
                <c:pt idx="2">
                  <c:v>0.18000000000000002</c:v>
                </c:pt>
                <c:pt idx="3">
                  <c:v>0.48499999999999999</c:v>
                </c:pt>
                <c:pt idx="4">
                  <c:v>3.9999999999999994E-2</c:v>
                </c:pt>
                <c:pt idx="5">
                  <c:v>6.3500000000000001E-2</c:v>
                </c:pt>
                <c:pt idx="6">
                  <c:v>0</c:v>
                </c:pt>
                <c:pt idx="7">
                  <c:v>0.19955000000000001</c:v>
                </c:pt>
                <c:pt idx="8">
                  <c:v>0.09</c:v>
                </c:pt>
                <c:pt idx="9">
                  <c:v>0.18182900000000002</c:v>
                </c:pt>
                <c:pt idx="10">
                  <c:v>0.12</c:v>
                </c:pt>
                <c:pt idx="11">
                  <c:v>0</c:v>
                </c:pt>
                <c:pt idx="12">
                  <c:v>0</c:v>
                </c:pt>
                <c:pt idx="13">
                  <c:v>4.200000000000001E-2</c:v>
                </c:pt>
                <c:pt idx="14">
                  <c:v>0</c:v>
                </c:pt>
                <c:pt idx="15">
                  <c:v>0</c:v>
                </c:pt>
                <c:pt idx="16">
                  <c:v>0</c:v>
                </c:pt>
                <c:pt idx="17">
                  <c:v>0</c:v>
                </c:pt>
                <c:pt idx="18">
                  <c:v>1.9999999999999997E-2</c:v>
                </c:pt>
                <c:pt idx="19">
                  <c:v>0</c:v>
                </c:pt>
              </c:numCache>
            </c:numRef>
          </c:val>
        </c:ser>
        <c:ser>
          <c:idx val="1"/>
          <c:order val="1"/>
          <c:spPr>
            <a:pattFill prst="pct10">
              <a:fgClr>
                <a:schemeClr val="tx1"/>
              </a:fgClr>
              <a:bgClr>
                <a:schemeClr val="bg1"/>
              </a:bgClr>
            </a:pattFill>
            <a:ln>
              <a:solidFill>
                <a:sysClr val="windowText" lastClr="000000"/>
              </a:solidFill>
            </a:ln>
          </c:spPr>
          <c:invertIfNegative val="0"/>
          <c:dPt>
            <c:idx val="1"/>
            <c:invertIfNegative val="0"/>
            <c:bubble3D val="0"/>
            <c:spPr>
              <a:pattFill prst="ltDnDiag">
                <a:fgClr>
                  <a:schemeClr val="tx1"/>
                </a:fgClr>
                <a:bgClr>
                  <a:schemeClr val="bg1"/>
                </a:bgClr>
              </a:pattFill>
              <a:ln>
                <a:solidFill>
                  <a:sysClr val="windowText" lastClr="000000"/>
                </a:solidFill>
              </a:ln>
            </c:spPr>
          </c:dPt>
          <c:dPt>
            <c:idx val="3"/>
            <c:invertIfNegative val="0"/>
            <c:bubble3D val="0"/>
            <c:spPr>
              <a:pattFill prst="ltDnDiag">
                <a:fgClr>
                  <a:schemeClr val="tx1"/>
                </a:fgClr>
                <a:bgClr>
                  <a:schemeClr val="bg1"/>
                </a:bgClr>
              </a:pattFill>
              <a:ln>
                <a:solidFill>
                  <a:sysClr val="windowText" lastClr="000000"/>
                </a:solidFill>
              </a:ln>
            </c:spPr>
          </c:dPt>
          <c:dPt>
            <c:idx val="5"/>
            <c:invertIfNegative val="0"/>
            <c:bubble3D val="0"/>
            <c:spPr>
              <a:pattFill prst="ltDnDiag">
                <a:fgClr>
                  <a:schemeClr val="tx1"/>
                </a:fgClr>
                <a:bgClr>
                  <a:schemeClr val="bg1"/>
                </a:bgClr>
              </a:pattFill>
              <a:ln>
                <a:solidFill>
                  <a:sysClr val="windowText" lastClr="000000"/>
                </a:solidFill>
              </a:ln>
            </c:spPr>
          </c:dPt>
          <c:dPt>
            <c:idx val="7"/>
            <c:invertIfNegative val="0"/>
            <c:bubble3D val="0"/>
            <c:spPr>
              <a:pattFill prst="ltDnDiag">
                <a:fgClr>
                  <a:schemeClr val="tx1"/>
                </a:fgClr>
                <a:bgClr>
                  <a:schemeClr val="bg1"/>
                </a:bgClr>
              </a:pattFill>
              <a:ln>
                <a:solidFill>
                  <a:sysClr val="windowText" lastClr="000000"/>
                </a:solidFill>
              </a:ln>
            </c:spPr>
          </c:dPt>
          <c:dPt>
            <c:idx val="9"/>
            <c:invertIfNegative val="0"/>
            <c:bubble3D val="0"/>
            <c:spPr>
              <a:pattFill prst="ltDnDiag">
                <a:fgClr>
                  <a:schemeClr val="tx1"/>
                </a:fgClr>
                <a:bgClr>
                  <a:schemeClr val="bg1"/>
                </a:bgClr>
              </a:pattFill>
              <a:ln>
                <a:solidFill>
                  <a:sysClr val="windowText" lastClr="000000"/>
                </a:solidFill>
              </a:ln>
            </c:spPr>
          </c:dPt>
          <c:dPt>
            <c:idx val="11"/>
            <c:invertIfNegative val="0"/>
            <c:bubble3D val="0"/>
            <c:spPr>
              <a:pattFill prst="ltDnDiag">
                <a:fgClr>
                  <a:schemeClr val="tx1"/>
                </a:fgClr>
                <a:bgClr>
                  <a:schemeClr val="bg1"/>
                </a:bgClr>
              </a:pattFill>
              <a:ln>
                <a:solidFill>
                  <a:sysClr val="windowText" lastClr="000000"/>
                </a:solidFill>
              </a:ln>
            </c:spPr>
          </c:dPt>
          <c:dPt>
            <c:idx val="13"/>
            <c:invertIfNegative val="0"/>
            <c:bubble3D val="0"/>
            <c:spPr>
              <a:pattFill prst="ltDnDiag">
                <a:fgClr>
                  <a:schemeClr val="tx1"/>
                </a:fgClr>
                <a:bgClr>
                  <a:schemeClr val="bg1"/>
                </a:bgClr>
              </a:pattFill>
              <a:ln>
                <a:solidFill>
                  <a:sysClr val="windowText" lastClr="000000"/>
                </a:solidFill>
              </a:ln>
            </c:spPr>
          </c:dPt>
          <c:dPt>
            <c:idx val="15"/>
            <c:invertIfNegative val="0"/>
            <c:bubble3D val="0"/>
          </c:dPt>
          <c:cat>
            <c:strRef>
              <c:f>'TFA &amp; SFA Box Plots'!$C$31:$C$54</c:f>
              <c:strCache>
                <c:ptCount val="20"/>
                <c:pt idx="0">
                  <c:v>Blended Edible Oils</c:v>
                </c:pt>
                <c:pt idx="1">
                  <c:v>Vegetable Oil</c:v>
                </c:pt>
                <c:pt idx="2">
                  <c:v>Edible Oil Spreads</c:v>
                </c:pt>
                <c:pt idx="3">
                  <c:v>Edible Oil Spreads</c:v>
                </c:pt>
                <c:pt idx="4">
                  <c:v>Oil Based Dressings</c:v>
                </c:pt>
                <c:pt idx="5">
                  <c:v>Oil Based Dressings</c:v>
                </c:pt>
                <c:pt idx="6">
                  <c:v>Meat Pies</c:v>
                </c:pt>
                <c:pt idx="7">
                  <c:v>Meat Pies</c:v>
                </c:pt>
                <c:pt idx="8">
                  <c:v>Sausage Rolls</c:v>
                </c:pt>
                <c:pt idx="9">
                  <c:v>Sausage Rolls</c:v>
                </c:pt>
                <c:pt idx="10">
                  <c:v>Dry Mix Pasta</c:v>
                </c:pt>
                <c:pt idx="11">
                  <c:v>Dry Mix Pasta</c:v>
                </c:pt>
                <c:pt idx="12">
                  <c:v>Nut Based Spreads</c:v>
                </c:pt>
                <c:pt idx="13">
                  <c:v>Nut Based Spreads</c:v>
                </c:pt>
                <c:pt idx="14">
                  <c:v>Sauces</c:v>
                </c:pt>
                <c:pt idx="15">
                  <c:v>Sauces</c:v>
                </c:pt>
                <c:pt idx="16">
                  <c:v>Breakfast Bars</c:v>
                </c:pt>
                <c:pt idx="17">
                  <c:v>Snack Bars</c:v>
                </c:pt>
                <c:pt idx="18">
                  <c:v>Toasted Style Muesli Cereal</c:v>
                </c:pt>
                <c:pt idx="19">
                  <c:v>Toasted Style Muesli Cereal</c:v>
                </c:pt>
              </c:strCache>
            </c:strRef>
          </c:cat>
          <c:val>
            <c:numRef>
              <c:f>'TFA &amp; SFA Box Plots'!$AF$31:$AF$54</c:f>
              <c:numCache>
                <c:formatCode>General</c:formatCode>
                <c:ptCount val="20"/>
                <c:pt idx="0">
                  <c:v>1.08</c:v>
                </c:pt>
                <c:pt idx="1">
                  <c:v>0.51749999999999996</c:v>
                </c:pt>
                <c:pt idx="2">
                  <c:v>0.31999999999999995</c:v>
                </c:pt>
                <c:pt idx="3">
                  <c:v>0.16499999999999992</c:v>
                </c:pt>
                <c:pt idx="4">
                  <c:v>0.16000000000000003</c:v>
                </c:pt>
                <c:pt idx="5">
                  <c:v>0.23649999999999999</c:v>
                </c:pt>
                <c:pt idx="6">
                  <c:v>0.55000000000000004</c:v>
                </c:pt>
                <c:pt idx="7">
                  <c:v>0.22264</c:v>
                </c:pt>
                <c:pt idx="8">
                  <c:v>0.71000000000000008</c:v>
                </c:pt>
                <c:pt idx="9">
                  <c:v>0.43505599999999989</c:v>
                </c:pt>
                <c:pt idx="10">
                  <c:v>8.0000000000000016E-2</c:v>
                </c:pt>
                <c:pt idx="11">
                  <c:v>6.2245000000000009E-2</c:v>
                </c:pt>
                <c:pt idx="12">
                  <c:v>0</c:v>
                </c:pt>
                <c:pt idx="13">
                  <c:v>8.7999999999999995E-2</c:v>
                </c:pt>
                <c:pt idx="14">
                  <c:v>0</c:v>
                </c:pt>
                <c:pt idx="15">
                  <c:v>2.0580000000000001E-2</c:v>
                </c:pt>
                <c:pt idx="16">
                  <c:v>0</c:v>
                </c:pt>
                <c:pt idx="17">
                  <c:v>0</c:v>
                </c:pt>
                <c:pt idx="18">
                  <c:v>8.0000000000000016E-2</c:v>
                </c:pt>
                <c:pt idx="19">
                  <c:v>0</c:v>
                </c:pt>
              </c:numCache>
            </c:numRef>
          </c:val>
        </c:ser>
        <c:ser>
          <c:idx val="2"/>
          <c:order val="2"/>
          <c:spPr>
            <a:solidFill>
              <a:schemeClr val="accent1"/>
            </a:solidFill>
            <a:ln>
              <a:solidFill>
                <a:sysClr val="windowText" lastClr="000000"/>
              </a:solidFill>
            </a:ln>
          </c:spPr>
          <c:invertIfNegative val="0"/>
          <c:dPt>
            <c:idx val="0"/>
            <c:invertIfNegative val="0"/>
            <c:bubble3D val="0"/>
            <c:spPr>
              <a:pattFill prst="pct10">
                <a:fgClr>
                  <a:schemeClr val="tx1"/>
                </a:fgClr>
                <a:bgClr>
                  <a:schemeClr val="bg1"/>
                </a:bgClr>
              </a:pattFill>
              <a:ln>
                <a:solidFill>
                  <a:sysClr val="windowText" lastClr="000000"/>
                </a:solidFill>
              </a:ln>
            </c:spPr>
          </c:dPt>
          <c:dPt>
            <c:idx val="1"/>
            <c:invertIfNegative val="0"/>
            <c:bubble3D val="0"/>
            <c:spPr>
              <a:pattFill prst="ltDnDiag">
                <a:fgClr>
                  <a:schemeClr val="tx1"/>
                </a:fgClr>
                <a:bgClr>
                  <a:schemeClr val="bg1"/>
                </a:bgClr>
              </a:pattFill>
              <a:ln>
                <a:solidFill>
                  <a:sysClr val="windowText" lastClr="000000"/>
                </a:solidFill>
              </a:ln>
            </c:spPr>
          </c:dPt>
          <c:dPt>
            <c:idx val="2"/>
            <c:invertIfNegative val="0"/>
            <c:bubble3D val="0"/>
            <c:spPr>
              <a:pattFill prst="pct10">
                <a:fgClr>
                  <a:schemeClr val="tx1"/>
                </a:fgClr>
                <a:bgClr>
                  <a:schemeClr val="bg1"/>
                </a:bgClr>
              </a:pattFill>
              <a:ln>
                <a:solidFill>
                  <a:sysClr val="windowText" lastClr="000000"/>
                </a:solidFill>
              </a:ln>
            </c:spPr>
          </c:dPt>
          <c:dPt>
            <c:idx val="3"/>
            <c:invertIfNegative val="0"/>
            <c:bubble3D val="0"/>
            <c:spPr>
              <a:pattFill prst="ltDnDiag">
                <a:fgClr>
                  <a:schemeClr val="tx1"/>
                </a:fgClr>
                <a:bgClr>
                  <a:schemeClr val="bg1"/>
                </a:bgClr>
              </a:pattFill>
              <a:ln>
                <a:solidFill>
                  <a:sysClr val="windowText" lastClr="000000"/>
                </a:solidFill>
              </a:ln>
            </c:spPr>
          </c:dPt>
          <c:dPt>
            <c:idx val="4"/>
            <c:invertIfNegative val="0"/>
            <c:bubble3D val="0"/>
            <c:spPr>
              <a:pattFill prst="pct10">
                <a:fgClr>
                  <a:schemeClr val="tx1"/>
                </a:fgClr>
                <a:bgClr>
                  <a:schemeClr val="bg1"/>
                </a:bgClr>
              </a:pattFill>
              <a:ln>
                <a:solidFill>
                  <a:sysClr val="windowText" lastClr="000000"/>
                </a:solidFill>
              </a:ln>
            </c:spPr>
          </c:dPt>
          <c:dPt>
            <c:idx val="5"/>
            <c:invertIfNegative val="0"/>
            <c:bubble3D val="0"/>
            <c:spPr>
              <a:pattFill prst="ltDnDiag">
                <a:fgClr>
                  <a:schemeClr val="tx1"/>
                </a:fgClr>
                <a:bgClr>
                  <a:schemeClr val="bg1"/>
                </a:bgClr>
              </a:pattFill>
              <a:ln>
                <a:solidFill>
                  <a:sysClr val="windowText" lastClr="000000"/>
                </a:solidFill>
              </a:ln>
            </c:spPr>
          </c:dPt>
          <c:dPt>
            <c:idx val="6"/>
            <c:invertIfNegative val="0"/>
            <c:bubble3D val="0"/>
            <c:spPr>
              <a:pattFill prst="pct10">
                <a:fgClr>
                  <a:schemeClr val="tx1"/>
                </a:fgClr>
                <a:bgClr>
                  <a:schemeClr val="bg1"/>
                </a:bgClr>
              </a:pattFill>
              <a:ln>
                <a:solidFill>
                  <a:sysClr val="windowText" lastClr="000000"/>
                </a:solidFill>
              </a:ln>
            </c:spPr>
          </c:dPt>
          <c:dPt>
            <c:idx val="7"/>
            <c:invertIfNegative val="0"/>
            <c:bubble3D val="0"/>
            <c:spPr>
              <a:pattFill prst="ltDnDiag">
                <a:fgClr>
                  <a:schemeClr val="tx1"/>
                </a:fgClr>
                <a:bgClr>
                  <a:schemeClr val="bg1"/>
                </a:bgClr>
              </a:pattFill>
              <a:ln>
                <a:solidFill>
                  <a:sysClr val="windowText" lastClr="000000"/>
                </a:solidFill>
              </a:ln>
            </c:spPr>
          </c:dPt>
          <c:dPt>
            <c:idx val="8"/>
            <c:invertIfNegative val="0"/>
            <c:bubble3D val="0"/>
            <c:spPr>
              <a:pattFill prst="pct10">
                <a:fgClr>
                  <a:schemeClr val="tx1"/>
                </a:fgClr>
                <a:bgClr>
                  <a:schemeClr val="bg1"/>
                </a:bgClr>
              </a:pattFill>
              <a:ln>
                <a:solidFill>
                  <a:sysClr val="windowText" lastClr="000000"/>
                </a:solidFill>
              </a:ln>
            </c:spPr>
          </c:dPt>
          <c:dPt>
            <c:idx val="9"/>
            <c:invertIfNegative val="0"/>
            <c:bubble3D val="0"/>
            <c:spPr>
              <a:pattFill prst="ltDnDiag">
                <a:fgClr>
                  <a:schemeClr val="tx1"/>
                </a:fgClr>
                <a:bgClr>
                  <a:schemeClr val="bg1"/>
                </a:bgClr>
              </a:pattFill>
              <a:ln>
                <a:solidFill>
                  <a:sysClr val="windowText" lastClr="000000"/>
                </a:solidFill>
              </a:ln>
            </c:spPr>
          </c:dPt>
          <c:dPt>
            <c:idx val="10"/>
            <c:invertIfNegative val="0"/>
            <c:bubble3D val="0"/>
            <c:spPr>
              <a:pattFill prst="pct10">
                <a:fgClr>
                  <a:schemeClr val="tx1"/>
                </a:fgClr>
                <a:bgClr>
                  <a:schemeClr val="bg1"/>
                </a:bgClr>
              </a:pattFill>
              <a:ln>
                <a:solidFill>
                  <a:sysClr val="windowText" lastClr="000000"/>
                </a:solidFill>
              </a:ln>
            </c:spPr>
          </c:dPt>
          <c:dPt>
            <c:idx val="11"/>
            <c:invertIfNegative val="0"/>
            <c:bubble3D val="0"/>
            <c:spPr>
              <a:pattFill prst="ltDnDiag">
                <a:fgClr>
                  <a:schemeClr val="tx1"/>
                </a:fgClr>
                <a:bgClr>
                  <a:schemeClr val="bg1"/>
                </a:bgClr>
              </a:pattFill>
              <a:ln>
                <a:solidFill>
                  <a:sysClr val="windowText" lastClr="000000"/>
                </a:solidFill>
              </a:ln>
            </c:spPr>
          </c:dPt>
          <c:dPt>
            <c:idx val="12"/>
            <c:invertIfNegative val="0"/>
            <c:bubble3D val="0"/>
            <c:spPr>
              <a:pattFill prst="pct10">
                <a:fgClr>
                  <a:schemeClr val="tx1"/>
                </a:fgClr>
                <a:bgClr>
                  <a:schemeClr val="bg1"/>
                </a:bgClr>
              </a:pattFill>
              <a:ln>
                <a:solidFill>
                  <a:sysClr val="windowText" lastClr="000000"/>
                </a:solidFill>
              </a:ln>
            </c:spPr>
          </c:dPt>
          <c:dPt>
            <c:idx val="13"/>
            <c:invertIfNegative val="0"/>
            <c:bubble3D val="0"/>
            <c:spPr>
              <a:pattFill prst="ltDnDiag">
                <a:fgClr>
                  <a:schemeClr val="tx1"/>
                </a:fgClr>
                <a:bgClr>
                  <a:schemeClr val="bg1"/>
                </a:bgClr>
              </a:pattFill>
              <a:ln>
                <a:solidFill>
                  <a:sysClr val="windowText" lastClr="000000"/>
                </a:solidFill>
              </a:ln>
            </c:spPr>
          </c:dPt>
          <c:dPt>
            <c:idx val="14"/>
            <c:invertIfNegative val="0"/>
            <c:bubble3D val="0"/>
            <c:spPr>
              <a:pattFill prst="pct10">
                <a:fgClr>
                  <a:schemeClr val="tx1"/>
                </a:fgClr>
                <a:bgClr>
                  <a:schemeClr val="bg1"/>
                </a:bgClr>
              </a:pattFill>
              <a:ln>
                <a:solidFill>
                  <a:sysClr val="windowText" lastClr="000000"/>
                </a:solidFill>
              </a:ln>
            </c:spPr>
          </c:dPt>
          <c:dPt>
            <c:idx val="15"/>
            <c:invertIfNegative val="0"/>
            <c:bubble3D val="0"/>
            <c:spPr>
              <a:pattFill prst="ltDnDiag">
                <a:fgClr>
                  <a:schemeClr val="tx1"/>
                </a:fgClr>
                <a:bgClr>
                  <a:schemeClr val="bg1"/>
                </a:bgClr>
              </a:pattFill>
              <a:ln>
                <a:solidFill>
                  <a:sysClr val="windowText" lastClr="000000"/>
                </a:solidFill>
              </a:ln>
            </c:spPr>
          </c:dPt>
          <c:dPt>
            <c:idx val="16"/>
            <c:invertIfNegative val="0"/>
            <c:bubble3D val="0"/>
            <c:spPr>
              <a:pattFill prst="pct10">
                <a:fgClr>
                  <a:schemeClr val="tx1"/>
                </a:fgClr>
                <a:bgClr>
                  <a:schemeClr val="bg1"/>
                </a:bgClr>
              </a:pattFill>
              <a:ln>
                <a:solidFill>
                  <a:sysClr val="windowText" lastClr="000000"/>
                </a:solidFill>
              </a:ln>
            </c:spPr>
          </c:dPt>
          <c:dPt>
            <c:idx val="17"/>
            <c:invertIfNegative val="0"/>
            <c:bubble3D val="0"/>
            <c:spPr>
              <a:pattFill prst="ltDnDiag">
                <a:fgClr>
                  <a:schemeClr val="tx1"/>
                </a:fgClr>
                <a:bgClr>
                  <a:schemeClr val="bg1"/>
                </a:bgClr>
              </a:pattFill>
              <a:ln>
                <a:solidFill>
                  <a:sysClr val="windowText" lastClr="000000"/>
                </a:solidFill>
              </a:ln>
            </c:spPr>
          </c:dPt>
          <c:dPt>
            <c:idx val="19"/>
            <c:invertIfNegative val="0"/>
            <c:bubble3D val="0"/>
            <c:spPr>
              <a:pattFill prst="ltDnDiag">
                <a:fgClr>
                  <a:schemeClr val="tx1"/>
                </a:fgClr>
                <a:bgClr>
                  <a:schemeClr val="bg1"/>
                </a:bgClr>
              </a:pattFill>
              <a:ln>
                <a:solidFill>
                  <a:sysClr val="windowText" lastClr="000000"/>
                </a:solidFill>
              </a:ln>
            </c:spPr>
          </c:dPt>
          <c:errBars>
            <c:errBarType val="plus"/>
            <c:errValType val="cust"/>
            <c:noEndCap val="0"/>
            <c:plus>
              <c:numRef>
                <c:f>'TFA &amp; SFA Box Plots'!$AI$31:$AI$54</c:f>
                <c:numCache>
                  <c:formatCode>General</c:formatCode>
                  <c:ptCount val="20"/>
                  <c:pt idx="0">
                    <c:v>0.24000000000000021</c:v>
                  </c:pt>
                  <c:pt idx="1">
                    <c:v>5.4999999999999938E-2</c:v>
                  </c:pt>
                  <c:pt idx="2">
                    <c:v>1.7280000000000015</c:v>
                  </c:pt>
                  <c:pt idx="3">
                    <c:v>9.9492499999999984E-2</c:v>
                  </c:pt>
                  <c:pt idx="4">
                    <c:v>0.12000000000000011</c:v>
                  </c:pt>
                  <c:pt idx="5">
                    <c:v>0.22400000000000042</c:v>
                  </c:pt>
                  <c:pt idx="6">
                    <c:v>0</c:v>
                  </c:pt>
                  <c:pt idx="7">
                    <c:v>0.1846823000000003</c:v>
                  </c:pt>
                  <c:pt idx="8">
                    <c:v>0.54000000000000137</c:v>
                  </c:pt>
                  <c:pt idx="9">
                    <c:v>1.9500000000000073E-2</c:v>
                  </c:pt>
                  <c:pt idx="10">
                    <c:v>4.0000000000000036E-2</c:v>
                  </c:pt>
                  <c:pt idx="11">
                    <c:v>4.1188000000000058E-3</c:v>
                  </c:pt>
                  <c:pt idx="12">
                    <c:v>2.0000000000000018E-2</c:v>
                  </c:pt>
                  <c:pt idx="13">
                    <c:v>0</c:v>
                  </c:pt>
                  <c:pt idx="14">
                    <c:v>0</c:v>
                  </c:pt>
                  <c:pt idx="15">
                    <c:v>0.12195855000000017</c:v>
                  </c:pt>
                  <c:pt idx="16">
                    <c:v>1.5400000000000023</c:v>
                  </c:pt>
                  <c:pt idx="17">
                    <c:v>8.987999999999996E-3</c:v>
                  </c:pt>
                  <c:pt idx="18">
                    <c:v>0</c:v>
                  </c:pt>
                  <c:pt idx="19">
                    <c:v>0</c:v>
                  </c:pt>
                </c:numCache>
              </c:numRef>
            </c:plus>
            <c:minus>
              <c:numLit>
                <c:formatCode>General</c:formatCode>
                <c:ptCount val="1"/>
                <c:pt idx="0">
                  <c:v>1</c:v>
                </c:pt>
              </c:numLit>
            </c:minus>
          </c:errBars>
          <c:cat>
            <c:strRef>
              <c:f>'TFA &amp; SFA Box Plots'!$C$31:$C$54</c:f>
              <c:strCache>
                <c:ptCount val="20"/>
                <c:pt idx="0">
                  <c:v>Blended Edible Oils</c:v>
                </c:pt>
                <c:pt idx="1">
                  <c:v>Vegetable Oil</c:v>
                </c:pt>
                <c:pt idx="2">
                  <c:v>Edible Oil Spreads</c:v>
                </c:pt>
                <c:pt idx="3">
                  <c:v>Edible Oil Spreads</c:v>
                </c:pt>
                <c:pt idx="4">
                  <c:v>Oil Based Dressings</c:v>
                </c:pt>
                <c:pt idx="5">
                  <c:v>Oil Based Dressings</c:v>
                </c:pt>
                <c:pt idx="6">
                  <c:v>Meat Pies</c:v>
                </c:pt>
                <c:pt idx="7">
                  <c:v>Meat Pies</c:v>
                </c:pt>
                <c:pt idx="8">
                  <c:v>Sausage Rolls</c:v>
                </c:pt>
                <c:pt idx="9">
                  <c:v>Sausage Rolls</c:v>
                </c:pt>
                <c:pt idx="10">
                  <c:v>Dry Mix Pasta</c:v>
                </c:pt>
                <c:pt idx="11">
                  <c:v>Dry Mix Pasta</c:v>
                </c:pt>
                <c:pt idx="12">
                  <c:v>Nut Based Spreads</c:v>
                </c:pt>
                <c:pt idx="13">
                  <c:v>Nut Based Spreads</c:v>
                </c:pt>
                <c:pt idx="14">
                  <c:v>Sauces</c:v>
                </c:pt>
                <c:pt idx="15">
                  <c:v>Sauces</c:v>
                </c:pt>
                <c:pt idx="16">
                  <c:v>Breakfast Bars</c:v>
                </c:pt>
                <c:pt idx="17">
                  <c:v>Snack Bars</c:v>
                </c:pt>
                <c:pt idx="18">
                  <c:v>Toasted Style Muesli Cereal</c:v>
                </c:pt>
                <c:pt idx="19">
                  <c:v>Toasted Style Muesli Cereal</c:v>
                </c:pt>
              </c:strCache>
            </c:strRef>
          </c:cat>
          <c:val>
            <c:numRef>
              <c:f>'TFA &amp; SFA Box Plots'!$AG$31:$AG$54</c:f>
              <c:numCache>
                <c:formatCode>General</c:formatCode>
                <c:ptCount val="20"/>
                <c:pt idx="0">
                  <c:v>1.3599999999999999</c:v>
                </c:pt>
                <c:pt idx="1">
                  <c:v>0.93500000000000005</c:v>
                </c:pt>
                <c:pt idx="2">
                  <c:v>0.93199999999999861</c:v>
                </c:pt>
                <c:pt idx="3">
                  <c:v>1.2505075000000001</c:v>
                </c:pt>
                <c:pt idx="4">
                  <c:v>0.37999999999999984</c:v>
                </c:pt>
                <c:pt idx="5">
                  <c:v>0.42599999999999955</c:v>
                </c:pt>
                <c:pt idx="6">
                  <c:v>0.35</c:v>
                </c:pt>
                <c:pt idx="7">
                  <c:v>0.35600369999999976</c:v>
                </c:pt>
                <c:pt idx="8">
                  <c:v>0.75999999999999868</c:v>
                </c:pt>
                <c:pt idx="9">
                  <c:v>0.68361500000000008</c:v>
                </c:pt>
                <c:pt idx="10">
                  <c:v>0.25999999999999995</c:v>
                </c:pt>
                <c:pt idx="11">
                  <c:v>0.14223619999999998</c:v>
                </c:pt>
                <c:pt idx="12">
                  <c:v>7.9999999999999988E-2</c:v>
                </c:pt>
                <c:pt idx="13">
                  <c:v>0.16999999999999998</c:v>
                </c:pt>
                <c:pt idx="14">
                  <c:v>0.1</c:v>
                </c:pt>
                <c:pt idx="15">
                  <c:v>0.25131144999999983</c:v>
                </c:pt>
                <c:pt idx="16">
                  <c:v>1.0599999999999978</c:v>
                </c:pt>
                <c:pt idx="17">
                  <c:v>0.20385200000000001</c:v>
                </c:pt>
                <c:pt idx="18">
                  <c:v>0</c:v>
                </c:pt>
                <c:pt idx="19">
                  <c:v>0.05</c:v>
                </c:pt>
              </c:numCache>
            </c:numRef>
          </c:val>
        </c:ser>
        <c:dLbls>
          <c:showLegendKey val="0"/>
          <c:showVal val="0"/>
          <c:showCatName val="0"/>
          <c:showSerName val="0"/>
          <c:showPercent val="0"/>
          <c:showBubbleSize val="0"/>
        </c:dLbls>
        <c:gapWidth val="15"/>
        <c:overlap val="100"/>
        <c:axId val="165873536"/>
        <c:axId val="165875072"/>
      </c:barChart>
      <c:catAx>
        <c:axId val="165873536"/>
        <c:scaling>
          <c:orientation val="minMax"/>
        </c:scaling>
        <c:delete val="1"/>
        <c:axPos val="b"/>
        <c:majorTickMark val="out"/>
        <c:minorTickMark val="none"/>
        <c:tickLblPos val="nextTo"/>
        <c:crossAx val="165875072"/>
        <c:crosses val="autoZero"/>
        <c:auto val="1"/>
        <c:lblAlgn val="ctr"/>
        <c:lblOffset val="100"/>
        <c:noMultiLvlLbl val="0"/>
      </c:catAx>
      <c:valAx>
        <c:axId val="165875072"/>
        <c:scaling>
          <c:orientation val="minMax"/>
        </c:scaling>
        <c:delete val="0"/>
        <c:axPos val="l"/>
        <c:title>
          <c:tx>
            <c:rich>
              <a:bodyPr rot="-5400000" vert="horz"/>
              <a:lstStyle/>
              <a:p>
                <a:pPr>
                  <a:defRPr sz="1200"/>
                </a:pPr>
                <a:r>
                  <a:rPr lang="en-GB" sz="1200"/>
                  <a:t>(</a:t>
                </a:r>
                <a:r>
                  <a:rPr lang="en-GB" sz="1200" b="1" i="0" u="none" strike="noStrike" kern="1200" baseline="0">
                    <a:solidFill>
                      <a:sysClr val="windowText" lastClr="000000"/>
                    </a:solidFill>
                    <a:latin typeface="+mn-lt"/>
                    <a:ea typeface="+mn-ea"/>
                    <a:cs typeface="+mn-cs"/>
                  </a:rPr>
                  <a:t>g / 100 g  </a:t>
                </a:r>
                <a:r>
                  <a:rPr lang="en-GB" sz="1200"/>
                  <a:t> food)</a:t>
                </a:r>
              </a:p>
            </c:rich>
          </c:tx>
          <c:layout/>
          <c:overlay val="0"/>
        </c:title>
        <c:numFmt formatCode="General" sourceLinked="1"/>
        <c:majorTickMark val="out"/>
        <c:minorTickMark val="none"/>
        <c:tickLblPos val="nextTo"/>
        <c:crossAx val="165873536"/>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402822528539865E-2"/>
          <c:y val="1.2787931408296068E-2"/>
          <c:w val="0.93359721262039974"/>
          <c:h val="0.78381667407853084"/>
        </c:manualLayout>
      </c:layout>
      <c:barChart>
        <c:barDir val="col"/>
        <c:grouping val="stacked"/>
        <c:varyColors val="0"/>
        <c:ser>
          <c:idx val="0"/>
          <c:order val="0"/>
          <c:spPr>
            <a:noFill/>
          </c:spPr>
          <c:invertIfNegative val="0"/>
          <c:errBars>
            <c:errBarType val="minus"/>
            <c:errValType val="cust"/>
            <c:noEndCap val="0"/>
            <c:plus>
              <c:numLit>
                <c:formatCode>General</c:formatCode>
                <c:ptCount val="1"/>
                <c:pt idx="0">
                  <c:v>1</c:v>
                </c:pt>
              </c:numLit>
            </c:plus>
            <c:minus>
              <c:numRef>
                <c:f>'TFA &amp; SFA Box Plots'!$AJ$56:$AJ$78</c:f>
                <c:numCache>
                  <c:formatCode>General</c:formatCode>
                  <c:ptCount val="22"/>
                  <c:pt idx="0">
                    <c:v>1.4999999999999993E-2</c:v>
                  </c:pt>
                  <c:pt idx="1">
                    <c:v>5.4000000000000006E-2</c:v>
                  </c:pt>
                  <c:pt idx="2">
                    <c:v>0</c:v>
                  </c:pt>
                  <c:pt idx="3">
                    <c:v>0</c:v>
                  </c:pt>
                  <c:pt idx="4">
                    <c:v>0</c:v>
                  </c:pt>
                  <c:pt idx="5">
                    <c:v>1.4999999999999999E-2</c:v>
                  </c:pt>
                  <c:pt idx="6">
                    <c:v>0</c:v>
                  </c:pt>
                  <c:pt idx="7">
                    <c:v>8.2999999999999741E-4</c:v>
                  </c:pt>
                  <c:pt idx="8">
                    <c:v>0</c:v>
                  </c:pt>
                  <c:pt idx="9">
                    <c:v>1.125E-2</c:v>
                  </c:pt>
                  <c:pt idx="10">
                    <c:v>0</c:v>
                  </c:pt>
                  <c:pt idx="11">
                    <c:v>7.9999999999999932E-3</c:v>
                  </c:pt>
                  <c:pt idx="12">
                    <c:v>0</c:v>
                  </c:pt>
                  <c:pt idx="13">
                    <c:v>3.1279999999999988E-3</c:v>
                  </c:pt>
                  <c:pt idx="14">
                    <c:v>0</c:v>
                  </c:pt>
                  <c:pt idx="15">
                    <c:v>5.7200000000000057E-4</c:v>
                  </c:pt>
                  <c:pt idx="16">
                    <c:v>0</c:v>
                  </c:pt>
                  <c:pt idx="17">
                    <c:v>2.3740500000000001E-2</c:v>
                  </c:pt>
                  <c:pt idx="18">
                    <c:v>0</c:v>
                  </c:pt>
                  <c:pt idx="19">
                    <c:v>0</c:v>
                  </c:pt>
                  <c:pt idx="20">
                    <c:v>0</c:v>
                  </c:pt>
                  <c:pt idx="21">
                    <c:v>2.3111999999999994E-2</c:v>
                  </c:pt>
                </c:numCache>
              </c:numRef>
            </c:minus>
          </c:errBars>
          <c:cat>
            <c:strRef>
              <c:f>'TFA &amp; SFA Box Plots'!$C$56:$C$78</c:f>
              <c:strCache>
                <c:ptCount val="22"/>
                <c:pt idx="0">
                  <c:v>Extruded Snacks</c:v>
                </c:pt>
                <c:pt idx="1">
                  <c:v>Extruded Snacks</c:v>
                </c:pt>
                <c:pt idx="2">
                  <c:v>Popcorn</c:v>
                </c:pt>
                <c:pt idx="3">
                  <c:v>Popcorn</c:v>
                </c:pt>
                <c:pt idx="4">
                  <c:v>Potato Crisps</c:v>
                </c:pt>
                <c:pt idx="5">
                  <c:v>Potato Crisps &amp; Corn Chips</c:v>
                </c:pt>
                <c:pt idx="6">
                  <c:v>Chicken Nuggets</c:v>
                </c:pt>
                <c:pt idx="7">
                  <c:v>Chicken Products</c:v>
                </c:pt>
                <c:pt idx="8">
                  <c:v>Deep Fried Fish Fillets</c:v>
                </c:pt>
                <c:pt idx="9">
                  <c:v>Crumbed/Battered Fish Fillets</c:v>
                </c:pt>
                <c:pt idx="10">
                  <c:v>Falafel</c:v>
                </c:pt>
                <c:pt idx="11">
                  <c:v>Falafel</c:v>
                </c:pt>
                <c:pt idx="12">
                  <c:v>Fried Noodle Dishes</c:v>
                </c:pt>
                <c:pt idx="13">
                  <c:v>Fried Noodle Dishes</c:v>
                </c:pt>
                <c:pt idx="14">
                  <c:v>Hot Chips/Potato Products</c:v>
                </c:pt>
                <c:pt idx="15">
                  <c:v>Hot Chips/Potato Products</c:v>
                </c:pt>
                <c:pt idx="16">
                  <c:v>Pizza</c:v>
                </c:pt>
                <c:pt idx="17">
                  <c:v>Pizza</c:v>
                </c:pt>
                <c:pt idx="18">
                  <c:v>Sweet &amp; Sour Pork</c:v>
                </c:pt>
                <c:pt idx="19">
                  <c:v>Restaurant Style Takeaway Dishes</c:v>
                </c:pt>
                <c:pt idx="20">
                  <c:v>Spring Rolls</c:v>
                </c:pt>
                <c:pt idx="21">
                  <c:v>Spring Rolls</c:v>
                </c:pt>
              </c:strCache>
            </c:strRef>
          </c:cat>
          <c:val>
            <c:numRef>
              <c:f>'TFA &amp; SFA Box Plots'!$AE$56:$AE$78</c:f>
              <c:numCache>
                <c:formatCode>General</c:formatCode>
                <c:ptCount val="22"/>
                <c:pt idx="0">
                  <c:v>1.4999999999999993E-2</c:v>
                </c:pt>
                <c:pt idx="1">
                  <c:v>5.4000000000000006E-2</c:v>
                </c:pt>
                <c:pt idx="2">
                  <c:v>0</c:v>
                </c:pt>
                <c:pt idx="3">
                  <c:v>0</c:v>
                </c:pt>
                <c:pt idx="4">
                  <c:v>0</c:v>
                </c:pt>
                <c:pt idx="5">
                  <c:v>9.5000000000000001E-2</c:v>
                </c:pt>
                <c:pt idx="6">
                  <c:v>0</c:v>
                </c:pt>
                <c:pt idx="7">
                  <c:v>0.11313000000000001</c:v>
                </c:pt>
                <c:pt idx="8">
                  <c:v>0</c:v>
                </c:pt>
                <c:pt idx="9">
                  <c:v>1.125E-2</c:v>
                </c:pt>
                <c:pt idx="10">
                  <c:v>0</c:v>
                </c:pt>
                <c:pt idx="11">
                  <c:v>8.7999999999999995E-2</c:v>
                </c:pt>
                <c:pt idx="12">
                  <c:v>0</c:v>
                </c:pt>
                <c:pt idx="13">
                  <c:v>3.1279999999999988E-3</c:v>
                </c:pt>
                <c:pt idx="14">
                  <c:v>0</c:v>
                </c:pt>
                <c:pt idx="15">
                  <c:v>5.7200000000000057E-4</c:v>
                </c:pt>
                <c:pt idx="16">
                  <c:v>0</c:v>
                </c:pt>
                <c:pt idx="17">
                  <c:v>2.3740500000000001E-2</c:v>
                </c:pt>
                <c:pt idx="18">
                  <c:v>0</c:v>
                </c:pt>
                <c:pt idx="19">
                  <c:v>0</c:v>
                </c:pt>
                <c:pt idx="20">
                  <c:v>0</c:v>
                </c:pt>
                <c:pt idx="21">
                  <c:v>3.5331999999999995E-2</c:v>
                </c:pt>
              </c:numCache>
            </c:numRef>
          </c:val>
        </c:ser>
        <c:ser>
          <c:idx val="1"/>
          <c:order val="1"/>
          <c:spPr>
            <a:solidFill>
              <a:schemeClr val="accent2"/>
            </a:solidFill>
            <a:ln>
              <a:solidFill>
                <a:sysClr val="windowText" lastClr="000000"/>
              </a:solidFill>
            </a:ln>
          </c:spPr>
          <c:invertIfNegative val="0"/>
          <c:dPt>
            <c:idx val="0"/>
            <c:invertIfNegative val="0"/>
            <c:bubble3D val="0"/>
            <c:spPr>
              <a:pattFill prst="pct10">
                <a:fgClr>
                  <a:schemeClr val="tx1"/>
                </a:fgClr>
                <a:bgClr>
                  <a:schemeClr val="bg1"/>
                </a:bgClr>
              </a:pattFill>
              <a:ln>
                <a:solidFill>
                  <a:sysClr val="windowText" lastClr="000000"/>
                </a:solidFill>
              </a:ln>
            </c:spPr>
          </c:dPt>
          <c:dPt>
            <c:idx val="1"/>
            <c:invertIfNegative val="0"/>
            <c:bubble3D val="0"/>
            <c:spPr>
              <a:pattFill prst="ltDnDiag">
                <a:fgClr>
                  <a:schemeClr val="tx1"/>
                </a:fgClr>
                <a:bgClr>
                  <a:schemeClr val="bg1"/>
                </a:bgClr>
              </a:pattFill>
              <a:ln>
                <a:solidFill>
                  <a:sysClr val="windowText" lastClr="000000"/>
                </a:solidFill>
              </a:ln>
            </c:spPr>
          </c:dPt>
          <c:dPt>
            <c:idx val="2"/>
            <c:invertIfNegative val="0"/>
            <c:bubble3D val="0"/>
            <c:spPr>
              <a:pattFill prst="pct10">
                <a:fgClr>
                  <a:schemeClr val="tx1"/>
                </a:fgClr>
                <a:bgClr>
                  <a:schemeClr val="bg1"/>
                </a:bgClr>
              </a:pattFill>
              <a:ln>
                <a:solidFill>
                  <a:sysClr val="windowText" lastClr="000000"/>
                </a:solidFill>
              </a:ln>
            </c:spPr>
          </c:dPt>
          <c:dPt>
            <c:idx val="3"/>
            <c:invertIfNegative val="0"/>
            <c:bubble3D val="0"/>
            <c:spPr>
              <a:pattFill prst="ltDnDiag">
                <a:fgClr>
                  <a:schemeClr val="tx1"/>
                </a:fgClr>
                <a:bgClr>
                  <a:schemeClr val="bg1"/>
                </a:bgClr>
              </a:pattFill>
              <a:ln>
                <a:solidFill>
                  <a:sysClr val="windowText" lastClr="000000"/>
                </a:solidFill>
              </a:ln>
            </c:spPr>
          </c:dPt>
          <c:dPt>
            <c:idx val="4"/>
            <c:invertIfNegative val="0"/>
            <c:bubble3D val="0"/>
            <c:spPr>
              <a:pattFill prst="pct10">
                <a:fgClr>
                  <a:schemeClr val="tx1"/>
                </a:fgClr>
                <a:bgClr>
                  <a:schemeClr val="bg1"/>
                </a:bgClr>
              </a:pattFill>
              <a:ln>
                <a:solidFill>
                  <a:sysClr val="windowText" lastClr="000000"/>
                </a:solidFill>
              </a:ln>
            </c:spPr>
          </c:dPt>
          <c:dPt>
            <c:idx val="5"/>
            <c:invertIfNegative val="0"/>
            <c:bubble3D val="0"/>
            <c:spPr>
              <a:pattFill prst="ltDnDiag">
                <a:fgClr>
                  <a:schemeClr val="tx1"/>
                </a:fgClr>
                <a:bgClr>
                  <a:schemeClr val="bg1"/>
                </a:bgClr>
              </a:pattFill>
              <a:ln>
                <a:solidFill>
                  <a:sysClr val="windowText" lastClr="000000"/>
                </a:solidFill>
              </a:ln>
            </c:spPr>
          </c:dPt>
          <c:dPt>
            <c:idx val="6"/>
            <c:invertIfNegative val="0"/>
            <c:bubble3D val="0"/>
            <c:spPr>
              <a:pattFill prst="pct10">
                <a:fgClr>
                  <a:schemeClr val="tx1"/>
                </a:fgClr>
                <a:bgClr>
                  <a:schemeClr val="bg1"/>
                </a:bgClr>
              </a:pattFill>
              <a:ln>
                <a:solidFill>
                  <a:sysClr val="windowText" lastClr="000000"/>
                </a:solidFill>
              </a:ln>
            </c:spPr>
          </c:dPt>
          <c:dPt>
            <c:idx val="7"/>
            <c:invertIfNegative val="0"/>
            <c:bubble3D val="0"/>
            <c:spPr>
              <a:pattFill prst="ltDnDiag">
                <a:fgClr>
                  <a:schemeClr val="tx1"/>
                </a:fgClr>
                <a:bgClr>
                  <a:schemeClr val="bg1"/>
                </a:bgClr>
              </a:pattFill>
              <a:ln>
                <a:solidFill>
                  <a:sysClr val="windowText" lastClr="000000"/>
                </a:solidFill>
              </a:ln>
            </c:spPr>
          </c:dPt>
          <c:dPt>
            <c:idx val="8"/>
            <c:invertIfNegative val="0"/>
            <c:bubble3D val="0"/>
            <c:spPr>
              <a:pattFill prst="pct10">
                <a:fgClr>
                  <a:schemeClr val="tx1"/>
                </a:fgClr>
                <a:bgClr>
                  <a:schemeClr val="bg1"/>
                </a:bgClr>
              </a:pattFill>
              <a:ln>
                <a:solidFill>
                  <a:sysClr val="windowText" lastClr="000000"/>
                </a:solidFill>
              </a:ln>
            </c:spPr>
          </c:dPt>
          <c:dPt>
            <c:idx val="9"/>
            <c:invertIfNegative val="0"/>
            <c:bubble3D val="0"/>
            <c:spPr>
              <a:pattFill prst="ltDnDiag">
                <a:fgClr>
                  <a:schemeClr val="tx1"/>
                </a:fgClr>
                <a:bgClr>
                  <a:schemeClr val="bg1"/>
                </a:bgClr>
              </a:pattFill>
              <a:ln>
                <a:solidFill>
                  <a:sysClr val="windowText" lastClr="000000"/>
                </a:solidFill>
              </a:ln>
            </c:spPr>
          </c:dPt>
          <c:dPt>
            <c:idx val="10"/>
            <c:invertIfNegative val="0"/>
            <c:bubble3D val="0"/>
            <c:spPr>
              <a:pattFill prst="pct10">
                <a:fgClr>
                  <a:schemeClr val="tx1"/>
                </a:fgClr>
                <a:bgClr>
                  <a:schemeClr val="bg1"/>
                </a:bgClr>
              </a:pattFill>
              <a:ln>
                <a:solidFill>
                  <a:sysClr val="windowText" lastClr="000000"/>
                </a:solidFill>
              </a:ln>
            </c:spPr>
          </c:dPt>
          <c:dPt>
            <c:idx val="11"/>
            <c:invertIfNegative val="0"/>
            <c:bubble3D val="0"/>
            <c:spPr>
              <a:pattFill prst="ltDnDiag">
                <a:fgClr>
                  <a:schemeClr val="tx1"/>
                </a:fgClr>
                <a:bgClr>
                  <a:schemeClr val="bg1"/>
                </a:bgClr>
              </a:pattFill>
              <a:ln>
                <a:solidFill>
                  <a:sysClr val="windowText" lastClr="000000"/>
                </a:solidFill>
              </a:ln>
            </c:spPr>
          </c:dPt>
          <c:dPt>
            <c:idx val="13"/>
            <c:invertIfNegative val="0"/>
            <c:bubble3D val="0"/>
            <c:spPr>
              <a:pattFill prst="ltDnDiag">
                <a:fgClr>
                  <a:schemeClr val="tx1"/>
                </a:fgClr>
                <a:bgClr>
                  <a:schemeClr val="bg1"/>
                </a:bgClr>
              </a:pattFill>
              <a:ln>
                <a:solidFill>
                  <a:sysClr val="windowText" lastClr="000000"/>
                </a:solidFill>
              </a:ln>
            </c:spPr>
          </c:dPt>
          <c:dPt>
            <c:idx val="14"/>
            <c:invertIfNegative val="0"/>
            <c:bubble3D val="0"/>
            <c:spPr>
              <a:pattFill prst="pct10">
                <a:fgClr>
                  <a:schemeClr val="tx1"/>
                </a:fgClr>
                <a:bgClr>
                  <a:schemeClr val="bg1"/>
                </a:bgClr>
              </a:pattFill>
              <a:ln>
                <a:solidFill>
                  <a:sysClr val="windowText" lastClr="000000"/>
                </a:solidFill>
              </a:ln>
            </c:spPr>
          </c:dPt>
          <c:dPt>
            <c:idx val="15"/>
            <c:invertIfNegative val="0"/>
            <c:bubble3D val="0"/>
            <c:spPr>
              <a:pattFill prst="ltDnDiag">
                <a:fgClr>
                  <a:schemeClr val="tx1"/>
                </a:fgClr>
                <a:bgClr>
                  <a:schemeClr val="bg1"/>
                </a:bgClr>
              </a:pattFill>
              <a:ln>
                <a:solidFill>
                  <a:sysClr val="windowText" lastClr="000000"/>
                </a:solidFill>
              </a:ln>
            </c:spPr>
          </c:dPt>
          <c:dPt>
            <c:idx val="16"/>
            <c:invertIfNegative val="0"/>
            <c:bubble3D val="0"/>
            <c:spPr>
              <a:pattFill prst="pct10">
                <a:fgClr>
                  <a:schemeClr val="tx1"/>
                </a:fgClr>
                <a:bgClr>
                  <a:schemeClr val="bg1"/>
                </a:bgClr>
              </a:pattFill>
              <a:ln>
                <a:solidFill>
                  <a:sysClr val="windowText" lastClr="000000"/>
                </a:solidFill>
              </a:ln>
            </c:spPr>
          </c:dPt>
          <c:dPt>
            <c:idx val="17"/>
            <c:invertIfNegative val="0"/>
            <c:bubble3D val="0"/>
            <c:spPr>
              <a:pattFill prst="ltDnDiag">
                <a:fgClr>
                  <a:schemeClr val="tx1"/>
                </a:fgClr>
                <a:bgClr>
                  <a:schemeClr val="bg1"/>
                </a:bgClr>
              </a:pattFill>
              <a:ln>
                <a:solidFill>
                  <a:sysClr val="windowText" lastClr="000000"/>
                </a:solidFill>
              </a:ln>
            </c:spPr>
          </c:dPt>
          <c:dPt>
            <c:idx val="19"/>
            <c:invertIfNegative val="0"/>
            <c:bubble3D val="0"/>
            <c:spPr>
              <a:pattFill prst="ltDnDiag">
                <a:fgClr>
                  <a:schemeClr val="tx1"/>
                </a:fgClr>
                <a:bgClr>
                  <a:schemeClr val="bg1"/>
                </a:bgClr>
              </a:pattFill>
              <a:ln>
                <a:solidFill>
                  <a:sysClr val="windowText" lastClr="000000"/>
                </a:solidFill>
              </a:ln>
            </c:spPr>
          </c:dPt>
          <c:dPt>
            <c:idx val="20"/>
            <c:invertIfNegative val="0"/>
            <c:bubble3D val="0"/>
            <c:spPr>
              <a:pattFill prst="pct10">
                <a:fgClr>
                  <a:schemeClr val="tx1"/>
                </a:fgClr>
                <a:bgClr>
                  <a:schemeClr val="bg1"/>
                </a:bgClr>
              </a:pattFill>
              <a:ln>
                <a:solidFill>
                  <a:sysClr val="windowText" lastClr="000000"/>
                </a:solidFill>
              </a:ln>
            </c:spPr>
          </c:dPt>
          <c:dPt>
            <c:idx val="21"/>
            <c:invertIfNegative val="0"/>
            <c:bubble3D val="0"/>
            <c:spPr>
              <a:pattFill prst="ltDnDiag">
                <a:fgClr>
                  <a:schemeClr val="tx1"/>
                </a:fgClr>
                <a:bgClr>
                  <a:schemeClr val="bg1"/>
                </a:bgClr>
              </a:pattFill>
              <a:ln>
                <a:solidFill>
                  <a:sysClr val="windowText" lastClr="000000"/>
                </a:solidFill>
              </a:ln>
            </c:spPr>
          </c:dPt>
          <c:cat>
            <c:strRef>
              <c:f>'TFA &amp; SFA Box Plots'!$C$56:$C$78</c:f>
              <c:strCache>
                <c:ptCount val="22"/>
                <c:pt idx="0">
                  <c:v>Extruded Snacks</c:v>
                </c:pt>
                <c:pt idx="1">
                  <c:v>Extruded Snacks</c:v>
                </c:pt>
                <c:pt idx="2">
                  <c:v>Popcorn</c:v>
                </c:pt>
                <c:pt idx="3">
                  <c:v>Popcorn</c:v>
                </c:pt>
                <c:pt idx="4">
                  <c:v>Potato Crisps</c:v>
                </c:pt>
                <c:pt idx="5">
                  <c:v>Potato Crisps &amp; Corn Chips</c:v>
                </c:pt>
                <c:pt idx="6">
                  <c:v>Chicken Nuggets</c:v>
                </c:pt>
                <c:pt idx="7">
                  <c:v>Chicken Products</c:v>
                </c:pt>
                <c:pt idx="8">
                  <c:v>Deep Fried Fish Fillets</c:v>
                </c:pt>
                <c:pt idx="9">
                  <c:v>Crumbed/Battered Fish Fillets</c:v>
                </c:pt>
                <c:pt idx="10">
                  <c:v>Falafel</c:v>
                </c:pt>
                <c:pt idx="11">
                  <c:v>Falafel</c:v>
                </c:pt>
                <c:pt idx="12">
                  <c:v>Fried Noodle Dishes</c:v>
                </c:pt>
                <c:pt idx="13">
                  <c:v>Fried Noodle Dishes</c:v>
                </c:pt>
                <c:pt idx="14">
                  <c:v>Hot Chips/Potato Products</c:v>
                </c:pt>
                <c:pt idx="15">
                  <c:v>Hot Chips/Potato Products</c:v>
                </c:pt>
                <c:pt idx="16">
                  <c:v>Pizza</c:v>
                </c:pt>
                <c:pt idx="17">
                  <c:v>Pizza</c:v>
                </c:pt>
                <c:pt idx="18">
                  <c:v>Sweet &amp; Sour Pork</c:v>
                </c:pt>
                <c:pt idx="19">
                  <c:v>Restaurant Style Takeaway Dishes</c:v>
                </c:pt>
                <c:pt idx="20">
                  <c:v>Spring Rolls</c:v>
                </c:pt>
                <c:pt idx="21">
                  <c:v>Spring Rolls</c:v>
                </c:pt>
              </c:strCache>
            </c:strRef>
          </c:cat>
          <c:val>
            <c:numRef>
              <c:f>'TFA &amp; SFA Box Plots'!$AF$56:$AF$78</c:f>
              <c:numCache>
                <c:formatCode>General</c:formatCode>
                <c:ptCount val="22"/>
                <c:pt idx="0">
                  <c:v>8.500000000000002E-2</c:v>
                </c:pt>
                <c:pt idx="1">
                  <c:v>0.13600000000000001</c:v>
                </c:pt>
                <c:pt idx="2">
                  <c:v>4.4999999999999998E-2</c:v>
                </c:pt>
                <c:pt idx="3">
                  <c:v>0.2</c:v>
                </c:pt>
                <c:pt idx="4">
                  <c:v>0.1</c:v>
                </c:pt>
                <c:pt idx="5">
                  <c:v>0.10500000000000001</c:v>
                </c:pt>
                <c:pt idx="6">
                  <c:v>0.1</c:v>
                </c:pt>
                <c:pt idx="7">
                  <c:v>0.11347000000000002</c:v>
                </c:pt>
                <c:pt idx="8">
                  <c:v>0.1</c:v>
                </c:pt>
                <c:pt idx="9">
                  <c:v>0.19855</c:v>
                </c:pt>
                <c:pt idx="10">
                  <c:v>0.1</c:v>
                </c:pt>
                <c:pt idx="11">
                  <c:v>3.4546000000000007E-2</c:v>
                </c:pt>
                <c:pt idx="12">
                  <c:v>0</c:v>
                </c:pt>
                <c:pt idx="13">
                  <c:v>1.6872000000000002E-2</c:v>
                </c:pt>
                <c:pt idx="14">
                  <c:v>0.1</c:v>
                </c:pt>
                <c:pt idx="15">
                  <c:v>9.9428000000000002E-2</c:v>
                </c:pt>
                <c:pt idx="16">
                  <c:v>0.2</c:v>
                </c:pt>
                <c:pt idx="17">
                  <c:v>0.11173450000000001</c:v>
                </c:pt>
                <c:pt idx="18">
                  <c:v>0</c:v>
                </c:pt>
                <c:pt idx="19">
                  <c:v>0.141017</c:v>
                </c:pt>
                <c:pt idx="20">
                  <c:v>0.1</c:v>
                </c:pt>
                <c:pt idx="21">
                  <c:v>0.172156</c:v>
                </c:pt>
              </c:numCache>
            </c:numRef>
          </c:val>
        </c:ser>
        <c:ser>
          <c:idx val="2"/>
          <c:order val="2"/>
          <c:spPr>
            <a:pattFill prst="pct10">
              <a:fgClr>
                <a:schemeClr val="tx1"/>
              </a:fgClr>
              <a:bgClr>
                <a:schemeClr val="bg1"/>
              </a:bgClr>
            </a:pattFill>
            <a:ln>
              <a:solidFill>
                <a:sysClr val="windowText" lastClr="000000"/>
              </a:solidFill>
            </a:ln>
          </c:spPr>
          <c:invertIfNegative val="0"/>
          <c:dPt>
            <c:idx val="1"/>
            <c:invertIfNegative val="0"/>
            <c:bubble3D val="0"/>
            <c:spPr>
              <a:pattFill prst="ltDnDiag">
                <a:fgClr>
                  <a:schemeClr val="tx1"/>
                </a:fgClr>
                <a:bgClr>
                  <a:schemeClr val="bg1"/>
                </a:bgClr>
              </a:pattFill>
              <a:ln>
                <a:solidFill>
                  <a:sysClr val="windowText" lastClr="000000"/>
                </a:solidFill>
              </a:ln>
            </c:spPr>
          </c:dPt>
          <c:dPt>
            <c:idx val="3"/>
            <c:invertIfNegative val="0"/>
            <c:bubble3D val="0"/>
            <c:spPr>
              <a:pattFill prst="ltDnDiag">
                <a:fgClr>
                  <a:schemeClr val="tx1"/>
                </a:fgClr>
                <a:bgClr>
                  <a:schemeClr val="bg1"/>
                </a:bgClr>
              </a:pattFill>
              <a:ln>
                <a:solidFill>
                  <a:sysClr val="windowText" lastClr="000000"/>
                </a:solidFill>
              </a:ln>
            </c:spPr>
          </c:dPt>
          <c:dPt>
            <c:idx val="5"/>
            <c:invertIfNegative val="0"/>
            <c:bubble3D val="0"/>
            <c:spPr>
              <a:pattFill prst="ltDnDiag">
                <a:fgClr>
                  <a:schemeClr val="tx1"/>
                </a:fgClr>
                <a:bgClr>
                  <a:schemeClr val="bg1"/>
                </a:bgClr>
              </a:pattFill>
              <a:ln>
                <a:solidFill>
                  <a:sysClr val="windowText" lastClr="000000"/>
                </a:solidFill>
              </a:ln>
            </c:spPr>
          </c:dPt>
          <c:dPt>
            <c:idx val="7"/>
            <c:invertIfNegative val="0"/>
            <c:bubble3D val="0"/>
            <c:spPr>
              <a:pattFill prst="ltDnDiag">
                <a:fgClr>
                  <a:schemeClr val="tx1"/>
                </a:fgClr>
                <a:bgClr>
                  <a:schemeClr val="bg1"/>
                </a:bgClr>
              </a:pattFill>
              <a:ln>
                <a:solidFill>
                  <a:sysClr val="windowText" lastClr="000000"/>
                </a:solidFill>
              </a:ln>
            </c:spPr>
          </c:dPt>
          <c:dPt>
            <c:idx val="9"/>
            <c:invertIfNegative val="0"/>
            <c:bubble3D val="0"/>
            <c:spPr>
              <a:pattFill prst="ltDnDiag">
                <a:fgClr>
                  <a:schemeClr val="tx1"/>
                </a:fgClr>
                <a:bgClr>
                  <a:schemeClr val="bg1"/>
                </a:bgClr>
              </a:pattFill>
              <a:ln>
                <a:solidFill>
                  <a:sysClr val="windowText" lastClr="000000"/>
                </a:solidFill>
              </a:ln>
            </c:spPr>
          </c:dPt>
          <c:dPt>
            <c:idx val="11"/>
            <c:invertIfNegative val="0"/>
            <c:bubble3D val="0"/>
            <c:spPr>
              <a:pattFill prst="ltDnDiag">
                <a:fgClr>
                  <a:schemeClr val="tx1"/>
                </a:fgClr>
                <a:bgClr>
                  <a:schemeClr val="bg1"/>
                </a:bgClr>
              </a:pattFill>
              <a:ln>
                <a:solidFill>
                  <a:sysClr val="windowText" lastClr="000000"/>
                </a:solidFill>
              </a:ln>
            </c:spPr>
          </c:dPt>
          <c:dPt>
            <c:idx val="13"/>
            <c:invertIfNegative val="0"/>
            <c:bubble3D val="0"/>
            <c:spPr>
              <a:pattFill prst="ltDnDiag">
                <a:fgClr>
                  <a:schemeClr val="tx1"/>
                </a:fgClr>
                <a:bgClr>
                  <a:schemeClr val="bg1"/>
                </a:bgClr>
              </a:pattFill>
              <a:ln>
                <a:solidFill>
                  <a:sysClr val="windowText" lastClr="000000"/>
                </a:solidFill>
              </a:ln>
            </c:spPr>
          </c:dPt>
          <c:dPt>
            <c:idx val="15"/>
            <c:invertIfNegative val="0"/>
            <c:bubble3D val="0"/>
            <c:spPr>
              <a:pattFill prst="ltDnDiag">
                <a:fgClr>
                  <a:schemeClr val="tx1"/>
                </a:fgClr>
                <a:bgClr>
                  <a:schemeClr val="bg1"/>
                </a:bgClr>
              </a:pattFill>
              <a:ln>
                <a:solidFill>
                  <a:sysClr val="windowText" lastClr="000000"/>
                </a:solidFill>
              </a:ln>
            </c:spPr>
          </c:dPt>
          <c:dPt>
            <c:idx val="17"/>
            <c:invertIfNegative val="0"/>
            <c:bubble3D val="0"/>
            <c:spPr>
              <a:pattFill prst="ltDnDiag">
                <a:fgClr>
                  <a:schemeClr val="tx1"/>
                </a:fgClr>
                <a:bgClr>
                  <a:schemeClr val="bg1"/>
                </a:bgClr>
              </a:pattFill>
              <a:ln>
                <a:solidFill>
                  <a:sysClr val="windowText" lastClr="000000"/>
                </a:solidFill>
              </a:ln>
            </c:spPr>
          </c:dPt>
          <c:dPt>
            <c:idx val="19"/>
            <c:invertIfNegative val="0"/>
            <c:bubble3D val="0"/>
            <c:spPr>
              <a:pattFill prst="ltDnDiag">
                <a:fgClr>
                  <a:schemeClr val="tx1"/>
                </a:fgClr>
                <a:bgClr>
                  <a:schemeClr val="bg1"/>
                </a:bgClr>
              </a:pattFill>
              <a:ln>
                <a:solidFill>
                  <a:sysClr val="windowText" lastClr="000000"/>
                </a:solidFill>
              </a:ln>
            </c:spPr>
          </c:dPt>
          <c:dPt>
            <c:idx val="21"/>
            <c:invertIfNegative val="0"/>
            <c:bubble3D val="0"/>
            <c:spPr>
              <a:pattFill prst="ltDnDiag">
                <a:fgClr>
                  <a:schemeClr val="tx1"/>
                </a:fgClr>
                <a:bgClr>
                  <a:schemeClr val="bg1"/>
                </a:bgClr>
              </a:pattFill>
              <a:ln>
                <a:solidFill>
                  <a:sysClr val="windowText" lastClr="000000"/>
                </a:solidFill>
              </a:ln>
            </c:spPr>
          </c:dPt>
          <c:errBars>
            <c:errBarType val="plus"/>
            <c:errValType val="cust"/>
            <c:noEndCap val="0"/>
            <c:plus>
              <c:numRef>
                <c:f>'TFA &amp; SFA Box Plots'!$AI$56:$AI$78</c:f>
                <c:numCache>
                  <c:formatCode>General</c:formatCode>
                  <c:ptCount val="22"/>
                  <c:pt idx="0">
                    <c:v>1.5000000000000041E-2</c:v>
                  </c:pt>
                  <c:pt idx="1">
                    <c:v>0.10857000000000017</c:v>
                  </c:pt>
                  <c:pt idx="2">
                    <c:v>2.3985000000000056</c:v>
                  </c:pt>
                  <c:pt idx="3">
                    <c:v>0.96468500000000024</c:v>
                  </c:pt>
                  <c:pt idx="4">
                    <c:v>0.56000000000000083</c:v>
                  </c:pt>
                  <c:pt idx="5">
                    <c:v>2.437499999999998E-2</c:v>
                  </c:pt>
                  <c:pt idx="6">
                    <c:v>0.1775000000000001</c:v>
                  </c:pt>
                  <c:pt idx="7">
                    <c:v>0.10095999999999999</c:v>
                  </c:pt>
                  <c:pt idx="8">
                    <c:v>0.13500000000000001</c:v>
                  </c:pt>
                  <c:pt idx="9">
                    <c:v>0.11804999999999999</c:v>
                  </c:pt>
                  <c:pt idx="10">
                    <c:v>4.0000000000000036E-2</c:v>
                  </c:pt>
                  <c:pt idx="11">
                    <c:v>0.15043600000000013</c:v>
                  </c:pt>
                  <c:pt idx="12">
                    <c:v>6.0000000000000137E-2</c:v>
                  </c:pt>
                  <c:pt idx="13">
                    <c:v>3.6080000000000001E-3</c:v>
                  </c:pt>
                  <c:pt idx="14">
                    <c:v>0.99999999999999989</c:v>
                  </c:pt>
                  <c:pt idx="15">
                    <c:v>0.10893300000000017</c:v>
                  </c:pt>
                  <c:pt idx="16">
                    <c:v>0</c:v>
                  </c:pt>
                  <c:pt idx="17">
                    <c:v>0.10444299999999995</c:v>
                  </c:pt>
                  <c:pt idx="18">
                    <c:v>7.1500000000000036E-2</c:v>
                  </c:pt>
                  <c:pt idx="19">
                    <c:v>8.3491200000000099E-2</c:v>
                  </c:pt>
                  <c:pt idx="20">
                    <c:v>0.45000000000000007</c:v>
                  </c:pt>
                  <c:pt idx="21">
                    <c:v>3.6640000000000006E-3</c:v>
                  </c:pt>
                </c:numCache>
              </c:numRef>
            </c:plus>
            <c:minus>
              <c:numLit>
                <c:formatCode>General</c:formatCode>
                <c:ptCount val="1"/>
                <c:pt idx="0">
                  <c:v>1</c:v>
                </c:pt>
              </c:numLit>
            </c:minus>
          </c:errBars>
          <c:cat>
            <c:strRef>
              <c:f>'TFA &amp; SFA Box Plots'!$C$56:$C$78</c:f>
              <c:strCache>
                <c:ptCount val="22"/>
                <c:pt idx="0">
                  <c:v>Extruded Snacks</c:v>
                </c:pt>
                <c:pt idx="1">
                  <c:v>Extruded Snacks</c:v>
                </c:pt>
                <c:pt idx="2">
                  <c:v>Popcorn</c:v>
                </c:pt>
                <c:pt idx="3">
                  <c:v>Popcorn</c:v>
                </c:pt>
                <c:pt idx="4">
                  <c:v>Potato Crisps</c:v>
                </c:pt>
                <c:pt idx="5">
                  <c:v>Potato Crisps &amp; Corn Chips</c:v>
                </c:pt>
                <c:pt idx="6">
                  <c:v>Chicken Nuggets</c:v>
                </c:pt>
                <c:pt idx="7">
                  <c:v>Chicken Products</c:v>
                </c:pt>
                <c:pt idx="8">
                  <c:v>Deep Fried Fish Fillets</c:v>
                </c:pt>
                <c:pt idx="9">
                  <c:v>Crumbed/Battered Fish Fillets</c:v>
                </c:pt>
                <c:pt idx="10">
                  <c:v>Falafel</c:v>
                </c:pt>
                <c:pt idx="11">
                  <c:v>Falafel</c:v>
                </c:pt>
                <c:pt idx="12">
                  <c:v>Fried Noodle Dishes</c:v>
                </c:pt>
                <c:pt idx="13">
                  <c:v>Fried Noodle Dishes</c:v>
                </c:pt>
                <c:pt idx="14">
                  <c:v>Hot Chips/Potato Products</c:v>
                </c:pt>
                <c:pt idx="15">
                  <c:v>Hot Chips/Potato Products</c:v>
                </c:pt>
                <c:pt idx="16">
                  <c:v>Pizza</c:v>
                </c:pt>
                <c:pt idx="17">
                  <c:v>Pizza</c:v>
                </c:pt>
                <c:pt idx="18">
                  <c:v>Sweet &amp; Sour Pork</c:v>
                </c:pt>
                <c:pt idx="19">
                  <c:v>Restaurant Style Takeaway Dishes</c:v>
                </c:pt>
                <c:pt idx="20">
                  <c:v>Spring Rolls</c:v>
                </c:pt>
                <c:pt idx="21">
                  <c:v>Spring Rolls</c:v>
                </c:pt>
              </c:strCache>
            </c:strRef>
          </c:cat>
          <c:val>
            <c:numRef>
              <c:f>'TFA &amp; SFA Box Plots'!$AG$56:$AG$78</c:f>
              <c:numCache>
                <c:formatCode>General</c:formatCode>
                <c:ptCount val="22"/>
                <c:pt idx="0">
                  <c:v>8.4999999999999964E-2</c:v>
                </c:pt>
                <c:pt idx="1">
                  <c:v>0.45862999999999982</c:v>
                </c:pt>
                <c:pt idx="2">
                  <c:v>9.0864999999999938</c:v>
                </c:pt>
                <c:pt idx="3">
                  <c:v>3.6646849999999995</c:v>
                </c:pt>
                <c:pt idx="4">
                  <c:v>0.7399999999999991</c:v>
                </c:pt>
                <c:pt idx="5">
                  <c:v>0.208125</c:v>
                </c:pt>
                <c:pt idx="6">
                  <c:v>0.52249999999999996</c:v>
                </c:pt>
                <c:pt idx="7">
                  <c:v>0.10555999999999999</c:v>
                </c:pt>
                <c:pt idx="8">
                  <c:v>0.56500000000000006</c:v>
                </c:pt>
                <c:pt idx="9">
                  <c:v>0.33089999999999997</c:v>
                </c:pt>
                <c:pt idx="10">
                  <c:v>5.999999999999997E-2</c:v>
                </c:pt>
                <c:pt idx="11">
                  <c:v>0.31701799999999986</c:v>
                </c:pt>
                <c:pt idx="12">
                  <c:v>0.13999999999999987</c:v>
                </c:pt>
                <c:pt idx="13">
                  <c:v>8.5412000000000002E-2</c:v>
                </c:pt>
                <c:pt idx="14">
                  <c:v>0.30000000000000004</c:v>
                </c:pt>
                <c:pt idx="15">
                  <c:v>0.19106699999999985</c:v>
                </c:pt>
                <c:pt idx="16">
                  <c:v>9.9999999999999978E-2</c:v>
                </c:pt>
                <c:pt idx="17">
                  <c:v>0.28566200000000008</c:v>
                </c:pt>
                <c:pt idx="18">
                  <c:v>0.21849999999999994</c:v>
                </c:pt>
                <c:pt idx="19">
                  <c:v>0.54548179999999991</c:v>
                </c:pt>
                <c:pt idx="20">
                  <c:v>0.75</c:v>
                </c:pt>
                <c:pt idx="21">
                  <c:v>0.12250800000000001</c:v>
                </c:pt>
              </c:numCache>
            </c:numRef>
          </c:val>
        </c:ser>
        <c:dLbls>
          <c:showLegendKey val="0"/>
          <c:showVal val="0"/>
          <c:showCatName val="0"/>
          <c:showSerName val="0"/>
          <c:showPercent val="0"/>
          <c:showBubbleSize val="0"/>
        </c:dLbls>
        <c:gapWidth val="15"/>
        <c:overlap val="100"/>
        <c:axId val="4929792"/>
        <c:axId val="4935680"/>
      </c:barChart>
      <c:catAx>
        <c:axId val="4929792"/>
        <c:scaling>
          <c:orientation val="minMax"/>
        </c:scaling>
        <c:delete val="1"/>
        <c:axPos val="b"/>
        <c:majorTickMark val="out"/>
        <c:minorTickMark val="none"/>
        <c:tickLblPos val="nextTo"/>
        <c:crossAx val="4935680"/>
        <c:crosses val="autoZero"/>
        <c:auto val="1"/>
        <c:lblAlgn val="ctr"/>
        <c:lblOffset val="100"/>
        <c:noMultiLvlLbl val="0"/>
      </c:catAx>
      <c:valAx>
        <c:axId val="4935680"/>
        <c:scaling>
          <c:orientation val="minMax"/>
          <c:max val="12"/>
        </c:scaling>
        <c:delete val="0"/>
        <c:axPos val="l"/>
        <c:title>
          <c:tx>
            <c:rich>
              <a:bodyPr rot="-5400000" vert="horz"/>
              <a:lstStyle/>
              <a:p>
                <a:pPr>
                  <a:defRPr sz="1200"/>
                </a:pPr>
                <a:r>
                  <a:rPr lang="en-GB" sz="1200"/>
                  <a:t>(</a:t>
                </a:r>
                <a:r>
                  <a:rPr lang="en-GB" sz="1200" b="1" i="0" u="none" strike="noStrike" kern="1200" baseline="0">
                    <a:solidFill>
                      <a:sysClr val="windowText" lastClr="000000"/>
                    </a:solidFill>
                    <a:latin typeface="+mn-lt"/>
                    <a:ea typeface="+mn-ea"/>
                    <a:cs typeface="+mn-cs"/>
                  </a:rPr>
                  <a:t>g / 100 g  </a:t>
                </a:r>
                <a:r>
                  <a:rPr lang="en-GB" sz="1200"/>
                  <a:t> food)</a:t>
                </a:r>
              </a:p>
            </c:rich>
          </c:tx>
          <c:layout/>
          <c:overlay val="0"/>
        </c:title>
        <c:numFmt formatCode="General" sourceLinked="1"/>
        <c:majorTickMark val="out"/>
        <c:minorTickMark val="none"/>
        <c:tickLblPos val="nextTo"/>
        <c:crossAx val="4929792"/>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1"/>
    </mc:Choice>
    <mc:Fallback>
      <c:style val="1"/>
    </mc:Fallback>
  </mc:AlternateContent>
  <c:pivotSource>
    <c:name>[2013, 2009, 2005-7 results.xlsx]Bar Graph Comparison!PivotTable3</c:name>
    <c:fmtId val="-1"/>
  </c:pivotSource>
  <c:chart>
    <c:autoTitleDeleted val="1"/>
    <c:pivotFmts>
      <c:pivotFmt>
        <c:idx val="0"/>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1"/>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s>
    <c:plotArea>
      <c:layout/>
      <c:barChart>
        <c:barDir val="col"/>
        <c:grouping val="clustered"/>
        <c:varyColors val="0"/>
        <c:ser>
          <c:idx val="0"/>
          <c:order val="0"/>
          <c:tx>
            <c:strRef>
              <c:f>'Bar Graph Comparison'!$B$1:$B$2</c:f>
              <c:strCache>
                <c:ptCount val="1"/>
                <c:pt idx="0">
                  <c:v>2005-2007</c:v>
                </c:pt>
              </c:strCache>
            </c:strRef>
          </c:tx>
          <c:invertIfNegative val="0"/>
          <c:cat>
            <c:multiLvlStrRef>
              <c:f>'Bar Graph Comparison'!$A$3:$A$28</c:f>
              <c:multiLvlStrCache>
                <c:ptCount val="19"/>
                <c:lvl>
                  <c:pt idx="0">
                    <c:v>Chicken Nuggets/Products</c:v>
                  </c:pt>
                  <c:pt idx="1">
                    <c:v>Crumbed/Battered Fish Fillets</c:v>
                  </c:pt>
                  <c:pt idx="2">
                    <c:v>Hot Chips/Potato Products</c:v>
                  </c:pt>
                  <c:pt idx="3">
                    <c:v>Pizza</c:v>
                  </c:pt>
                  <c:pt idx="4">
                    <c:v>Extruded Snacks</c:v>
                  </c:pt>
                  <c:pt idx="5">
                    <c:v>Potato Crisps &amp; Corn Chips</c:v>
                  </c:pt>
                  <c:pt idx="6">
                    <c:v>Edible Oil Spreads</c:v>
                  </c:pt>
                  <c:pt idx="7">
                    <c:v>Oil Based Dressings</c:v>
                  </c:pt>
                  <c:pt idx="8">
                    <c:v>Meat Pies</c:v>
                  </c:pt>
                  <c:pt idx="9">
                    <c:v>Sausage Rolls</c:v>
                  </c:pt>
                  <c:pt idx="10">
                    <c:v>Chocolate Biscuits</c:v>
                  </c:pt>
                  <c:pt idx="11">
                    <c:v>Cream Biscuits</c:v>
                  </c:pt>
                  <c:pt idx="12">
                    <c:v>Croissant</c:v>
                  </c:pt>
                  <c:pt idx="13">
                    <c:v>Custard Baked Goods</c:v>
                  </c:pt>
                  <c:pt idx="14">
                    <c:v>Donut</c:v>
                  </c:pt>
                  <c:pt idx="15">
                    <c:v>Prepared Pastry</c:v>
                  </c:pt>
                  <c:pt idx="16">
                    <c:v>Savoury Biscuits- Standard</c:v>
                  </c:pt>
                  <c:pt idx="17">
                    <c:v>Shelf Stable Cakes</c:v>
                  </c:pt>
                  <c:pt idx="18">
                    <c:v>Snack Bars</c:v>
                  </c:pt>
                </c:lvl>
                <c:lvl>
                  <c:pt idx="0">
                    <c:v>Takeaway Foods</c:v>
                  </c:pt>
                  <c:pt idx="4">
                    <c:v>Snack Foods</c:v>
                  </c:pt>
                  <c:pt idx="6">
                    <c:v>Fats &amp; Oils</c:v>
                  </c:pt>
                  <c:pt idx="8">
                    <c:v>Meat Products</c:v>
                  </c:pt>
                  <c:pt idx="10">
                    <c:v>Bakery Products</c:v>
                  </c:pt>
                  <c:pt idx="18">
                    <c:v>Others</c:v>
                  </c:pt>
                </c:lvl>
              </c:multiLvlStrCache>
            </c:multiLvlStrRef>
          </c:cat>
          <c:val>
            <c:numRef>
              <c:f>'Bar Graph Comparison'!$B$3:$B$28</c:f>
              <c:numCache>
                <c:formatCode>0.00</c:formatCode>
                <c:ptCount val="19"/>
                <c:pt idx="0">
                  <c:v>0.35</c:v>
                </c:pt>
                <c:pt idx="1">
                  <c:v>0.2</c:v>
                </c:pt>
                <c:pt idx="2">
                  <c:v>0.2</c:v>
                </c:pt>
                <c:pt idx="3">
                  <c:v>0.2</c:v>
                </c:pt>
                <c:pt idx="4">
                  <c:v>0</c:v>
                </c:pt>
                <c:pt idx="5">
                  <c:v>0.6</c:v>
                </c:pt>
                <c:pt idx="6">
                  <c:v>0.25</c:v>
                </c:pt>
                <c:pt idx="7">
                  <c:v>0.2</c:v>
                </c:pt>
                <c:pt idx="8">
                  <c:v>0.4</c:v>
                </c:pt>
                <c:pt idx="9">
                  <c:v>1</c:v>
                </c:pt>
                <c:pt idx="10">
                  <c:v>0.1</c:v>
                </c:pt>
                <c:pt idx="11">
                  <c:v>0.35</c:v>
                </c:pt>
                <c:pt idx="12">
                  <c:v>0.4</c:v>
                </c:pt>
                <c:pt idx="13">
                  <c:v>0.3</c:v>
                </c:pt>
                <c:pt idx="14">
                  <c:v>0.3</c:v>
                </c:pt>
                <c:pt idx="15">
                  <c:v>0.9</c:v>
                </c:pt>
                <c:pt idx="16">
                  <c:v>0.2</c:v>
                </c:pt>
                <c:pt idx="17">
                  <c:v>0.3</c:v>
                </c:pt>
                <c:pt idx="18">
                  <c:v>0</c:v>
                </c:pt>
              </c:numCache>
            </c:numRef>
          </c:val>
        </c:ser>
        <c:ser>
          <c:idx val="1"/>
          <c:order val="1"/>
          <c:tx>
            <c:strRef>
              <c:f>'Bar Graph Comparison'!$C$1:$C$2</c:f>
              <c:strCache>
                <c:ptCount val="1"/>
                <c:pt idx="0">
                  <c:v>2008/09</c:v>
                </c:pt>
              </c:strCache>
            </c:strRef>
          </c:tx>
          <c:invertIfNegative val="0"/>
          <c:cat>
            <c:multiLvlStrRef>
              <c:f>'Bar Graph Comparison'!$A$3:$A$28</c:f>
              <c:multiLvlStrCache>
                <c:ptCount val="19"/>
                <c:lvl>
                  <c:pt idx="0">
                    <c:v>Chicken Nuggets/Products</c:v>
                  </c:pt>
                  <c:pt idx="1">
                    <c:v>Crumbed/Battered Fish Fillets</c:v>
                  </c:pt>
                  <c:pt idx="2">
                    <c:v>Hot Chips/Potato Products</c:v>
                  </c:pt>
                  <c:pt idx="3">
                    <c:v>Pizza</c:v>
                  </c:pt>
                  <c:pt idx="4">
                    <c:v>Extruded Snacks</c:v>
                  </c:pt>
                  <c:pt idx="5">
                    <c:v>Potato Crisps &amp; Corn Chips</c:v>
                  </c:pt>
                  <c:pt idx="6">
                    <c:v>Edible Oil Spreads</c:v>
                  </c:pt>
                  <c:pt idx="7">
                    <c:v>Oil Based Dressings</c:v>
                  </c:pt>
                  <c:pt idx="8">
                    <c:v>Meat Pies</c:v>
                  </c:pt>
                  <c:pt idx="9">
                    <c:v>Sausage Rolls</c:v>
                  </c:pt>
                  <c:pt idx="10">
                    <c:v>Chocolate Biscuits</c:v>
                  </c:pt>
                  <c:pt idx="11">
                    <c:v>Cream Biscuits</c:v>
                  </c:pt>
                  <c:pt idx="12">
                    <c:v>Croissant</c:v>
                  </c:pt>
                  <c:pt idx="13">
                    <c:v>Custard Baked Goods</c:v>
                  </c:pt>
                  <c:pt idx="14">
                    <c:v>Donut</c:v>
                  </c:pt>
                  <c:pt idx="15">
                    <c:v>Prepared Pastry</c:v>
                  </c:pt>
                  <c:pt idx="16">
                    <c:v>Savoury Biscuits- Standard</c:v>
                  </c:pt>
                  <c:pt idx="17">
                    <c:v>Shelf Stable Cakes</c:v>
                  </c:pt>
                  <c:pt idx="18">
                    <c:v>Snack Bars</c:v>
                  </c:pt>
                </c:lvl>
                <c:lvl>
                  <c:pt idx="0">
                    <c:v>Takeaway Foods</c:v>
                  </c:pt>
                  <c:pt idx="4">
                    <c:v>Snack Foods</c:v>
                  </c:pt>
                  <c:pt idx="6">
                    <c:v>Fats &amp; Oils</c:v>
                  </c:pt>
                  <c:pt idx="8">
                    <c:v>Meat Products</c:v>
                  </c:pt>
                  <c:pt idx="10">
                    <c:v>Bakery Products</c:v>
                  </c:pt>
                  <c:pt idx="18">
                    <c:v>Others</c:v>
                  </c:pt>
                </c:lvl>
              </c:multiLvlStrCache>
            </c:multiLvlStrRef>
          </c:cat>
          <c:val>
            <c:numRef>
              <c:f>'Bar Graph Comparison'!$C$3:$C$28</c:f>
              <c:numCache>
                <c:formatCode>0.00</c:formatCode>
                <c:ptCount val="19"/>
                <c:pt idx="0">
                  <c:v>0.1</c:v>
                </c:pt>
                <c:pt idx="1">
                  <c:v>0.1</c:v>
                </c:pt>
                <c:pt idx="2">
                  <c:v>0.1</c:v>
                </c:pt>
                <c:pt idx="3">
                  <c:v>0.2</c:v>
                </c:pt>
                <c:pt idx="4">
                  <c:v>0.1</c:v>
                </c:pt>
                <c:pt idx="5">
                  <c:v>0.1</c:v>
                </c:pt>
                <c:pt idx="6">
                  <c:v>0.5</c:v>
                </c:pt>
                <c:pt idx="7">
                  <c:v>0.2</c:v>
                </c:pt>
                <c:pt idx="8">
                  <c:v>0.6</c:v>
                </c:pt>
                <c:pt idx="9">
                  <c:v>0.8</c:v>
                </c:pt>
                <c:pt idx="10">
                  <c:v>0.2</c:v>
                </c:pt>
                <c:pt idx="11">
                  <c:v>0.3</c:v>
                </c:pt>
                <c:pt idx="12">
                  <c:v>1</c:v>
                </c:pt>
                <c:pt idx="13">
                  <c:v>0.6</c:v>
                </c:pt>
                <c:pt idx="14">
                  <c:v>0.5</c:v>
                </c:pt>
                <c:pt idx="15">
                  <c:v>1.35</c:v>
                </c:pt>
                <c:pt idx="16">
                  <c:v>0.1</c:v>
                </c:pt>
                <c:pt idx="17">
                  <c:v>0.2</c:v>
                </c:pt>
                <c:pt idx="18">
                  <c:v>0</c:v>
                </c:pt>
              </c:numCache>
            </c:numRef>
          </c:val>
        </c:ser>
        <c:ser>
          <c:idx val="2"/>
          <c:order val="2"/>
          <c:tx>
            <c:strRef>
              <c:f>'Bar Graph Comparison'!$D$1:$D$2</c:f>
              <c:strCache>
                <c:ptCount val="1"/>
                <c:pt idx="0">
                  <c:v>2013</c:v>
                </c:pt>
              </c:strCache>
            </c:strRef>
          </c:tx>
          <c:spPr>
            <a:solidFill>
              <a:schemeClr val="bg1"/>
            </a:solidFill>
            <a:ln>
              <a:solidFill>
                <a:schemeClr val="tx1"/>
              </a:solidFill>
            </a:ln>
          </c:spPr>
          <c:invertIfNegative val="0"/>
          <c:cat>
            <c:multiLvlStrRef>
              <c:f>'Bar Graph Comparison'!$A$3:$A$28</c:f>
              <c:multiLvlStrCache>
                <c:ptCount val="19"/>
                <c:lvl>
                  <c:pt idx="0">
                    <c:v>Chicken Nuggets/Products</c:v>
                  </c:pt>
                  <c:pt idx="1">
                    <c:v>Crumbed/Battered Fish Fillets</c:v>
                  </c:pt>
                  <c:pt idx="2">
                    <c:v>Hot Chips/Potato Products</c:v>
                  </c:pt>
                  <c:pt idx="3">
                    <c:v>Pizza</c:v>
                  </c:pt>
                  <c:pt idx="4">
                    <c:v>Extruded Snacks</c:v>
                  </c:pt>
                  <c:pt idx="5">
                    <c:v>Potato Crisps &amp; Corn Chips</c:v>
                  </c:pt>
                  <c:pt idx="6">
                    <c:v>Edible Oil Spreads</c:v>
                  </c:pt>
                  <c:pt idx="7">
                    <c:v>Oil Based Dressings</c:v>
                  </c:pt>
                  <c:pt idx="8">
                    <c:v>Meat Pies</c:v>
                  </c:pt>
                  <c:pt idx="9">
                    <c:v>Sausage Rolls</c:v>
                  </c:pt>
                  <c:pt idx="10">
                    <c:v>Chocolate Biscuits</c:v>
                  </c:pt>
                  <c:pt idx="11">
                    <c:v>Cream Biscuits</c:v>
                  </c:pt>
                  <c:pt idx="12">
                    <c:v>Croissant</c:v>
                  </c:pt>
                  <c:pt idx="13">
                    <c:v>Custard Baked Goods</c:v>
                  </c:pt>
                  <c:pt idx="14">
                    <c:v>Donut</c:v>
                  </c:pt>
                  <c:pt idx="15">
                    <c:v>Prepared Pastry</c:v>
                  </c:pt>
                  <c:pt idx="16">
                    <c:v>Savoury Biscuits- Standard</c:v>
                  </c:pt>
                  <c:pt idx="17">
                    <c:v>Shelf Stable Cakes</c:v>
                  </c:pt>
                  <c:pt idx="18">
                    <c:v>Snack Bars</c:v>
                  </c:pt>
                </c:lvl>
                <c:lvl>
                  <c:pt idx="0">
                    <c:v>Takeaway Foods</c:v>
                  </c:pt>
                  <c:pt idx="4">
                    <c:v>Snack Foods</c:v>
                  </c:pt>
                  <c:pt idx="6">
                    <c:v>Fats &amp; Oils</c:v>
                  </c:pt>
                  <c:pt idx="8">
                    <c:v>Meat Products</c:v>
                  </c:pt>
                  <c:pt idx="10">
                    <c:v>Bakery Products</c:v>
                  </c:pt>
                  <c:pt idx="18">
                    <c:v>Others</c:v>
                  </c:pt>
                </c:lvl>
              </c:multiLvlStrCache>
            </c:multiLvlStrRef>
          </c:cat>
          <c:val>
            <c:numRef>
              <c:f>'Bar Graph Comparison'!$D$3:$D$28</c:f>
              <c:numCache>
                <c:formatCode>0.00</c:formatCode>
                <c:ptCount val="19"/>
                <c:pt idx="0">
                  <c:v>0.22660000000000002</c:v>
                </c:pt>
                <c:pt idx="1">
                  <c:v>0.20980000000000001</c:v>
                </c:pt>
                <c:pt idx="2">
                  <c:v>0.1</c:v>
                </c:pt>
                <c:pt idx="3">
                  <c:v>0.13547500000000001</c:v>
                </c:pt>
                <c:pt idx="4">
                  <c:v>0.19</c:v>
                </c:pt>
                <c:pt idx="5">
                  <c:v>0.2</c:v>
                </c:pt>
                <c:pt idx="6">
                  <c:v>0.64999999999999991</c:v>
                </c:pt>
                <c:pt idx="7">
                  <c:v>0.3</c:v>
                </c:pt>
                <c:pt idx="8">
                  <c:v>0.42219000000000001</c:v>
                </c:pt>
                <c:pt idx="9">
                  <c:v>0.61688499999999991</c:v>
                </c:pt>
                <c:pt idx="10">
                  <c:v>0.25668000000000002</c:v>
                </c:pt>
                <c:pt idx="11">
                  <c:v>0.25352000000000002</c:v>
                </c:pt>
                <c:pt idx="12">
                  <c:v>1.0213749999999999</c:v>
                </c:pt>
                <c:pt idx="13">
                  <c:v>0.58281000000000005</c:v>
                </c:pt>
                <c:pt idx="14">
                  <c:v>0.38778249999999997</c:v>
                </c:pt>
                <c:pt idx="15">
                  <c:v>0.95740000000000003</c:v>
                </c:pt>
                <c:pt idx="16">
                  <c:v>0.2</c:v>
                </c:pt>
                <c:pt idx="17">
                  <c:v>0.12471500000000001</c:v>
                </c:pt>
                <c:pt idx="18">
                  <c:v>0</c:v>
                </c:pt>
              </c:numCache>
            </c:numRef>
          </c:val>
        </c:ser>
        <c:dLbls>
          <c:showLegendKey val="0"/>
          <c:showVal val="0"/>
          <c:showCatName val="0"/>
          <c:showSerName val="0"/>
          <c:showPercent val="0"/>
          <c:showBubbleSize val="0"/>
        </c:dLbls>
        <c:gapWidth val="75"/>
        <c:overlap val="40"/>
        <c:axId val="4945792"/>
        <c:axId val="4947328"/>
      </c:barChart>
      <c:catAx>
        <c:axId val="4945792"/>
        <c:scaling>
          <c:orientation val="minMax"/>
        </c:scaling>
        <c:delete val="0"/>
        <c:axPos val="b"/>
        <c:majorTickMark val="none"/>
        <c:minorTickMark val="none"/>
        <c:tickLblPos val="nextTo"/>
        <c:crossAx val="4947328"/>
        <c:crosses val="autoZero"/>
        <c:auto val="1"/>
        <c:lblAlgn val="ctr"/>
        <c:lblOffset val="100"/>
        <c:noMultiLvlLbl val="0"/>
      </c:catAx>
      <c:valAx>
        <c:axId val="4947328"/>
        <c:scaling>
          <c:orientation val="minMax"/>
          <c:min val="0"/>
        </c:scaling>
        <c:delete val="0"/>
        <c:axPos val="l"/>
        <c:numFmt formatCode="0.00" sourceLinked="1"/>
        <c:majorTickMark val="none"/>
        <c:minorTickMark val="none"/>
        <c:tickLblPos val="nextTo"/>
        <c:crossAx val="4945792"/>
        <c:crosses val="autoZero"/>
        <c:crossBetween val="between"/>
      </c:valAx>
      <c:dTable>
        <c:showHorzBorder val="1"/>
        <c:showVertBorder val="1"/>
        <c:showOutline val="1"/>
        <c:showKeys val="1"/>
        <c:txPr>
          <a:bodyPr/>
          <a:lstStyle/>
          <a:p>
            <a:pPr rtl="0">
              <a:defRPr sz="700">
                <a:latin typeface="Arial" panose="020B0604020202020204" pitchFamily="34" charset="0"/>
                <a:cs typeface="Arial" panose="020B0604020202020204" pitchFamily="34" charset="0"/>
              </a:defRPr>
            </a:pPr>
            <a:endParaRPr lang="en-US"/>
          </a:p>
        </c:txPr>
      </c:dTable>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1"/>
    </mc:Choice>
    <mc:Fallback>
      <c:style val="1"/>
    </mc:Fallback>
  </mc:AlternateContent>
  <c:pivotSource>
    <c:name>[2013, 2009, 2005-7 results.xlsx]Danish Standard!PivotTable3</c:name>
    <c:fmtId val="-1"/>
  </c:pivotSource>
  <c:chart>
    <c:autoTitleDeleted val="1"/>
    <c:pivotFmts>
      <c:pivotFmt>
        <c:idx val="0"/>
        <c:marker>
          <c:symbol val="none"/>
        </c:marker>
        <c:dLbl>
          <c:idx val="0"/>
          <c:spPr/>
          <c:txPr>
            <a:bodyPr/>
            <a:lstStyle/>
            <a:p>
              <a:pPr>
                <a:defRPr/>
              </a:pPr>
              <a:endParaRPr lang="en-US"/>
            </a:p>
          </c:txPr>
          <c:showLegendKey val="0"/>
          <c:showVal val="0"/>
          <c:showCatName val="0"/>
          <c:showSerName val="0"/>
          <c:showPercent val="1"/>
          <c:showBubbleSize val="0"/>
        </c:dLbl>
      </c:pivotFmt>
      <c:pivotFmt>
        <c:idx val="1"/>
        <c:marker>
          <c:symbol val="none"/>
        </c:marker>
        <c:dLbl>
          <c:idx val="0"/>
          <c:spPr/>
          <c:txPr>
            <a:bodyPr/>
            <a:lstStyle/>
            <a:p>
              <a:pPr>
                <a:defRPr/>
              </a:pPr>
              <a:endParaRPr lang="en-US"/>
            </a:p>
          </c:txPr>
          <c:showLegendKey val="0"/>
          <c:showVal val="0"/>
          <c:showCatName val="0"/>
          <c:showSerName val="0"/>
          <c:showPercent val="1"/>
          <c:showBubbleSize val="0"/>
        </c:dLbl>
      </c:pivotFmt>
      <c:pivotFmt>
        <c:idx val="2"/>
        <c:marker>
          <c:symbol val="none"/>
        </c:marker>
        <c:dLbl>
          <c:idx val="0"/>
          <c:spPr/>
          <c:txPr>
            <a:bodyPr/>
            <a:lstStyle/>
            <a:p>
              <a:pPr>
                <a:defRPr/>
              </a:pPr>
              <a:endParaRPr lang="en-US"/>
            </a:p>
          </c:txPr>
          <c:showLegendKey val="0"/>
          <c:showVal val="0"/>
          <c:showCatName val="0"/>
          <c:showSerName val="0"/>
          <c:showPercent val="1"/>
          <c:showBubbleSize val="0"/>
        </c:dLbl>
      </c:pivotFmt>
    </c:pivotFmts>
    <c:plotArea>
      <c:layout/>
      <c:pieChart>
        <c:varyColors val="1"/>
        <c:ser>
          <c:idx val="0"/>
          <c:order val="0"/>
          <c:tx>
            <c:strRef>
              <c:f>'Danish Standard'!$B$4</c:f>
              <c:strCache>
                <c:ptCount val="1"/>
                <c:pt idx="0">
                  <c:v>Total</c:v>
                </c:pt>
              </c:strCache>
            </c:strRef>
          </c:tx>
          <c:spPr>
            <a:ln>
              <a:solidFill>
                <a:schemeClr val="tx1"/>
              </a:solidFill>
            </a:ln>
          </c:spPr>
          <c:dPt>
            <c:idx val="0"/>
            <c:bubble3D val="0"/>
            <c:spPr>
              <a:solidFill>
                <a:schemeClr val="tx1"/>
              </a:solidFill>
              <a:ln>
                <a:solidFill>
                  <a:schemeClr val="tx1"/>
                </a:solidFill>
              </a:ln>
            </c:spPr>
          </c:dPt>
          <c:dPt>
            <c:idx val="2"/>
            <c:bubble3D val="0"/>
            <c:spPr>
              <a:solidFill>
                <a:schemeClr val="bg1"/>
              </a:solidFill>
              <a:ln>
                <a:solidFill>
                  <a:schemeClr val="tx1"/>
                </a:solidFill>
              </a:ln>
            </c:spPr>
          </c:dPt>
          <c:dLbls>
            <c:dLbl>
              <c:idx val="0"/>
              <c:spPr/>
              <c:txPr>
                <a:bodyPr/>
                <a:lstStyle/>
                <a:p>
                  <a:pPr>
                    <a:defRPr b="1">
                      <a:solidFill>
                        <a:schemeClr val="bg1"/>
                      </a:solidFill>
                    </a:defRPr>
                  </a:pPr>
                  <a:endParaRPr lang="en-US"/>
                </a:p>
              </c:txPr>
              <c:showLegendKey val="0"/>
              <c:showVal val="0"/>
              <c:showCatName val="0"/>
              <c:showSerName val="0"/>
              <c:showPercent val="1"/>
              <c:showBubbleSize val="0"/>
            </c:dLbl>
            <c:txPr>
              <a:bodyPr/>
              <a:lstStyle/>
              <a:p>
                <a:pPr>
                  <a:defRPr b="1"/>
                </a:pPr>
                <a:endParaRPr lang="en-US"/>
              </a:p>
            </c:txPr>
            <c:showLegendKey val="0"/>
            <c:showVal val="0"/>
            <c:showCatName val="0"/>
            <c:showSerName val="0"/>
            <c:showPercent val="1"/>
            <c:showBubbleSize val="0"/>
            <c:showLeaderLines val="1"/>
          </c:dLbls>
          <c:cat>
            <c:strRef>
              <c:f>'Danish Standard'!$A$5:$A$8</c:f>
              <c:strCache>
                <c:ptCount val="3"/>
                <c:pt idx="0">
                  <c:v>greater than 2%</c:v>
                </c:pt>
                <c:pt idx="1">
                  <c:v>less than or equal to 2%</c:v>
                </c:pt>
                <c:pt idx="2">
                  <c:v>non-detectable level of TFA</c:v>
                </c:pt>
              </c:strCache>
            </c:strRef>
          </c:cat>
          <c:val>
            <c:numRef>
              <c:f>'Danish Standard'!$B$5:$B$8</c:f>
              <c:numCache>
                <c:formatCode>General</c:formatCode>
                <c:ptCount val="3"/>
                <c:pt idx="0">
                  <c:v>127</c:v>
                </c:pt>
                <c:pt idx="1">
                  <c:v>291</c:v>
                </c:pt>
                <c:pt idx="2">
                  <c:v>82</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2642308788168474E-2"/>
          <c:y val="2.7288975507040358E-2"/>
          <c:w val="0.94735768008453702"/>
          <c:h val="0.72175105463593747"/>
        </c:manualLayout>
      </c:layout>
      <c:barChart>
        <c:barDir val="col"/>
        <c:grouping val="stacked"/>
        <c:varyColors val="0"/>
        <c:ser>
          <c:idx val="0"/>
          <c:order val="0"/>
          <c:tx>
            <c:strRef>
              <c:f>'Median TF,SFA,MUFA,PUFA,TFA (2'!$R$2</c:f>
              <c:strCache>
                <c:ptCount val="1"/>
                <c:pt idx="0">
                  <c:v>#REF!</c:v>
                </c:pt>
              </c:strCache>
            </c:strRef>
          </c:tx>
          <c:spPr>
            <a:noFill/>
          </c:spPr>
          <c:invertIfNegative val="0"/>
          <c:errBars>
            <c:errBarType val="minus"/>
            <c:errValType val="cust"/>
            <c:noEndCap val="0"/>
            <c:plus>
              <c:numLit>
                <c:formatCode>General</c:formatCode>
                <c:ptCount val="1"/>
                <c:pt idx="0">
                  <c:v>1</c:v>
                </c:pt>
              </c:numLit>
            </c:plus>
            <c:minus>
              <c:numRef>
                <c:f>'Median TF,SFA,MUFA,PUFA,TFA (2'!$W$4:$W$30</c:f>
                <c:numCache>
                  <c:formatCode>General</c:formatCode>
                  <c:ptCount val="20"/>
                  <c:pt idx="0">
                    <c:v>4.9860000000000007</c:v>
                  </c:pt>
                  <c:pt idx="1">
                    <c:v>4.4200000000000008</c:v>
                  </c:pt>
                  <c:pt idx="2">
                    <c:v>0.12000000000000099</c:v>
                  </c:pt>
                  <c:pt idx="3">
                    <c:v>0.35999999999999943</c:v>
                  </c:pt>
                  <c:pt idx="4">
                    <c:v>0.16000000000000014</c:v>
                  </c:pt>
                  <c:pt idx="5">
                    <c:v>0.53999999999999915</c:v>
                  </c:pt>
                  <c:pt idx="6">
                    <c:v>1.02</c:v>
                  </c:pt>
                  <c:pt idx="7">
                    <c:v>4.9500000000000099E-2</c:v>
                  </c:pt>
                  <c:pt idx="8">
                    <c:v>1.6099999999999994</c:v>
                  </c:pt>
                  <c:pt idx="9">
                    <c:v>3.0484999999999998</c:v>
                  </c:pt>
                  <c:pt idx="10">
                    <c:v>0</c:v>
                  </c:pt>
                  <c:pt idx="11">
                    <c:v>3.5000000000000031E-2</c:v>
                  </c:pt>
                  <c:pt idx="12">
                    <c:v>0.36</c:v>
                  </c:pt>
                  <c:pt idx="13">
                    <c:v>0.1980000000000004</c:v>
                  </c:pt>
                  <c:pt idx="14">
                    <c:v>0.11000000000000032</c:v>
                  </c:pt>
                  <c:pt idx="15">
                    <c:v>0.06</c:v>
                  </c:pt>
                  <c:pt idx="16">
                    <c:v>0.84000000000000008</c:v>
                  </c:pt>
                  <c:pt idx="17">
                    <c:v>0.63650000000000029</c:v>
                  </c:pt>
                  <c:pt idx="18">
                    <c:v>0.25</c:v>
                  </c:pt>
                  <c:pt idx="19">
                    <c:v>8.7999999999999967E-2</c:v>
                  </c:pt>
                </c:numCache>
              </c:numRef>
            </c:minus>
          </c:errBars>
          <c:cat>
            <c:strRef>
              <c:f>'Median TF,SFA,MUFA,PUFA,TFA (2'!$C$3:$C$30</c:f>
              <c:strCache>
                <c:ptCount val="20"/>
                <c:pt idx="0">
                  <c:v>Chocolate Biscuits</c:v>
                </c:pt>
                <c:pt idx="1">
                  <c:v>Chocolate Biscuits</c:v>
                </c:pt>
                <c:pt idx="2">
                  <c:v>Cream Biscuits</c:v>
                </c:pt>
                <c:pt idx="3">
                  <c:v>Cream Biscuits</c:v>
                </c:pt>
                <c:pt idx="4">
                  <c:v>Croissant</c:v>
                </c:pt>
                <c:pt idx="5">
                  <c:v>Croissant</c:v>
                </c:pt>
                <c:pt idx="6">
                  <c:v>Custard Danish</c:v>
                </c:pt>
                <c:pt idx="7">
                  <c:v>Custard Baked Goods</c:v>
                </c:pt>
                <c:pt idx="8">
                  <c:v>Donut</c:v>
                </c:pt>
                <c:pt idx="9">
                  <c:v>Donut</c:v>
                </c:pt>
                <c:pt idx="10">
                  <c:v>Pikelets/Pancakes</c:v>
                </c:pt>
                <c:pt idx="11">
                  <c:v>Pikelets/Pancakes</c:v>
                </c:pt>
                <c:pt idx="12">
                  <c:v>Prepared Pastry</c:v>
                </c:pt>
                <c:pt idx="13">
                  <c:v>Prepared Pastry</c:v>
                </c:pt>
                <c:pt idx="14">
                  <c:v>Savoury Biscuits</c:v>
                </c:pt>
                <c:pt idx="15">
                  <c:v>Savoury Biscuits- Standard</c:v>
                </c:pt>
                <c:pt idx="16">
                  <c:v>Shelf Stable Cakes</c:v>
                </c:pt>
                <c:pt idx="17">
                  <c:v>Shelf Stable Cakes</c:v>
                </c:pt>
                <c:pt idx="18">
                  <c:v>Muffins</c:v>
                </c:pt>
                <c:pt idx="19">
                  <c:v>Sweet Muffins &amp; Banana Bread</c:v>
                </c:pt>
              </c:strCache>
            </c:strRef>
          </c:cat>
          <c:val>
            <c:numRef>
              <c:f>'Median TF,SFA,MUFA,PUFA,TFA (2'!$R$3:$R$30</c:f>
              <c:numCache>
                <c:formatCode>General</c:formatCode>
                <c:ptCount val="20"/>
                <c:pt idx="0">
                  <c:v>6.1860000000000008</c:v>
                </c:pt>
                <c:pt idx="1">
                  <c:v>8.7200000000000006</c:v>
                </c:pt>
                <c:pt idx="2">
                  <c:v>11.22</c:v>
                </c:pt>
                <c:pt idx="3">
                  <c:v>9.66</c:v>
                </c:pt>
                <c:pt idx="4">
                  <c:v>8.36</c:v>
                </c:pt>
                <c:pt idx="5">
                  <c:v>10.44</c:v>
                </c:pt>
                <c:pt idx="6">
                  <c:v>4.42</c:v>
                </c:pt>
                <c:pt idx="7">
                  <c:v>3.8395000000000001</c:v>
                </c:pt>
                <c:pt idx="8">
                  <c:v>4.6099999999999994</c:v>
                </c:pt>
                <c:pt idx="9">
                  <c:v>3.3484999999999996</c:v>
                </c:pt>
                <c:pt idx="10">
                  <c:v>0.4</c:v>
                </c:pt>
                <c:pt idx="11">
                  <c:v>0.43500000000000005</c:v>
                </c:pt>
                <c:pt idx="12">
                  <c:v>0.96</c:v>
                </c:pt>
                <c:pt idx="13">
                  <c:v>6.2680000000000007</c:v>
                </c:pt>
                <c:pt idx="14">
                  <c:v>3.0100000000000002</c:v>
                </c:pt>
                <c:pt idx="15">
                  <c:v>0.36</c:v>
                </c:pt>
                <c:pt idx="16">
                  <c:v>1.6400000000000001</c:v>
                </c:pt>
                <c:pt idx="17">
                  <c:v>1.7665000000000002</c:v>
                </c:pt>
                <c:pt idx="18">
                  <c:v>1.25</c:v>
                </c:pt>
                <c:pt idx="19">
                  <c:v>0.72799999999999998</c:v>
                </c:pt>
              </c:numCache>
            </c:numRef>
          </c:val>
        </c:ser>
        <c:ser>
          <c:idx val="1"/>
          <c:order val="1"/>
          <c:tx>
            <c:strRef>
              <c:f>'Median TF,SFA,MUFA,PUFA,TFA (2'!$S$2</c:f>
              <c:strCache>
                <c:ptCount val="1"/>
                <c:pt idx="0">
                  <c:v>#REF!</c:v>
                </c:pt>
              </c:strCache>
            </c:strRef>
          </c:tx>
          <c:spPr>
            <a:solidFill>
              <a:schemeClr val="accent1"/>
            </a:solidFill>
            <a:ln>
              <a:solidFill>
                <a:sysClr val="windowText" lastClr="000000"/>
              </a:solidFill>
            </a:ln>
          </c:spPr>
          <c:invertIfNegative val="0"/>
          <c:dPt>
            <c:idx val="0"/>
            <c:invertIfNegative val="0"/>
            <c:bubble3D val="0"/>
            <c:spPr>
              <a:pattFill prst="pct10">
                <a:fgClr>
                  <a:sysClr val="windowText" lastClr="000000"/>
                </a:fgClr>
                <a:bgClr>
                  <a:sysClr val="window" lastClr="FFFFFF"/>
                </a:bgClr>
              </a:pattFill>
              <a:ln>
                <a:solidFill>
                  <a:sysClr val="windowText" lastClr="000000"/>
                </a:solidFill>
              </a:ln>
            </c:spPr>
          </c:dPt>
          <c:dPt>
            <c:idx val="1"/>
            <c:invertIfNegative val="0"/>
            <c:bubble3D val="0"/>
            <c:spPr>
              <a:pattFill prst="ltDnDiag">
                <a:fgClr>
                  <a:sysClr val="windowText" lastClr="000000"/>
                </a:fgClr>
                <a:bgClr>
                  <a:sysClr val="window" lastClr="FFFFFF"/>
                </a:bgClr>
              </a:pattFill>
              <a:ln>
                <a:solidFill>
                  <a:sysClr val="windowText" lastClr="000000"/>
                </a:solidFill>
              </a:ln>
            </c:spPr>
          </c:dPt>
          <c:dPt>
            <c:idx val="2"/>
            <c:invertIfNegative val="0"/>
            <c:bubble3D val="0"/>
            <c:spPr>
              <a:pattFill prst="pct10">
                <a:fgClr>
                  <a:sysClr val="windowText" lastClr="000000"/>
                </a:fgClr>
                <a:bgClr>
                  <a:sysClr val="window" lastClr="FFFFFF"/>
                </a:bgClr>
              </a:pattFill>
              <a:ln>
                <a:solidFill>
                  <a:sysClr val="windowText" lastClr="000000"/>
                </a:solidFill>
              </a:ln>
            </c:spPr>
          </c:dPt>
          <c:dPt>
            <c:idx val="3"/>
            <c:invertIfNegative val="0"/>
            <c:bubble3D val="0"/>
            <c:spPr>
              <a:pattFill prst="ltDnDiag">
                <a:fgClr>
                  <a:sysClr val="windowText" lastClr="000000"/>
                </a:fgClr>
                <a:bgClr>
                  <a:sysClr val="window" lastClr="FFFFFF"/>
                </a:bgClr>
              </a:pattFill>
              <a:ln>
                <a:solidFill>
                  <a:sysClr val="windowText" lastClr="000000"/>
                </a:solidFill>
              </a:ln>
            </c:spPr>
          </c:dPt>
          <c:dPt>
            <c:idx val="4"/>
            <c:invertIfNegative val="0"/>
            <c:bubble3D val="0"/>
            <c:spPr>
              <a:pattFill prst="pct10">
                <a:fgClr>
                  <a:sysClr val="windowText" lastClr="000000"/>
                </a:fgClr>
                <a:bgClr>
                  <a:sysClr val="window" lastClr="FFFFFF"/>
                </a:bgClr>
              </a:pattFill>
              <a:ln>
                <a:solidFill>
                  <a:sysClr val="windowText" lastClr="000000"/>
                </a:solidFill>
              </a:ln>
            </c:spPr>
          </c:dPt>
          <c:dPt>
            <c:idx val="5"/>
            <c:invertIfNegative val="0"/>
            <c:bubble3D val="0"/>
            <c:spPr>
              <a:pattFill prst="ltDnDiag">
                <a:fgClr>
                  <a:sysClr val="windowText" lastClr="000000"/>
                </a:fgClr>
                <a:bgClr>
                  <a:sysClr val="window" lastClr="FFFFFF"/>
                </a:bgClr>
              </a:pattFill>
              <a:ln>
                <a:solidFill>
                  <a:sysClr val="windowText" lastClr="000000"/>
                </a:solidFill>
              </a:ln>
            </c:spPr>
          </c:dPt>
          <c:dPt>
            <c:idx val="6"/>
            <c:invertIfNegative val="0"/>
            <c:bubble3D val="0"/>
            <c:spPr>
              <a:pattFill prst="pct10">
                <a:fgClr>
                  <a:sysClr val="windowText" lastClr="000000"/>
                </a:fgClr>
                <a:bgClr>
                  <a:sysClr val="window" lastClr="FFFFFF"/>
                </a:bgClr>
              </a:pattFill>
              <a:ln>
                <a:solidFill>
                  <a:sysClr val="windowText" lastClr="000000"/>
                </a:solidFill>
              </a:ln>
            </c:spPr>
          </c:dPt>
          <c:dPt>
            <c:idx val="7"/>
            <c:invertIfNegative val="0"/>
            <c:bubble3D val="0"/>
            <c:spPr>
              <a:pattFill prst="ltDnDiag">
                <a:fgClr>
                  <a:sysClr val="windowText" lastClr="000000"/>
                </a:fgClr>
                <a:bgClr>
                  <a:sysClr val="window" lastClr="FFFFFF"/>
                </a:bgClr>
              </a:pattFill>
              <a:ln>
                <a:solidFill>
                  <a:sysClr val="windowText" lastClr="000000"/>
                </a:solidFill>
              </a:ln>
            </c:spPr>
          </c:dPt>
          <c:dPt>
            <c:idx val="8"/>
            <c:invertIfNegative val="0"/>
            <c:bubble3D val="0"/>
            <c:spPr>
              <a:pattFill prst="pct10">
                <a:fgClr>
                  <a:sysClr val="windowText" lastClr="000000"/>
                </a:fgClr>
                <a:bgClr>
                  <a:sysClr val="window" lastClr="FFFFFF"/>
                </a:bgClr>
              </a:pattFill>
              <a:ln>
                <a:solidFill>
                  <a:sysClr val="windowText" lastClr="000000"/>
                </a:solidFill>
              </a:ln>
            </c:spPr>
          </c:dPt>
          <c:dPt>
            <c:idx val="9"/>
            <c:invertIfNegative val="0"/>
            <c:bubble3D val="0"/>
            <c:spPr>
              <a:pattFill prst="ltDnDiag">
                <a:fgClr>
                  <a:sysClr val="windowText" lastClr="000000"/>
                </a:fgClr>
                <a:bgClr>
                  <a:sysClr val="window" lastClr="FFFFFF"/>
                </a:bgClr>
              </a:pattFill>
              <a:ln>
                <a:solidFill>
                  <a:sysClr val="windowText" lastClr="000000"/>
                </a:solidFill>
              </a:ln>
            </c:spPr>
          </c:dPt>
          <c:dPt>
            <c:idx val="10"/>
            <c:invertIfNegative val="0"/>
            <c:bubble3D val="0"/>
            <c:spPr>
              <a:pattFill prst="pct10">
                <a:fgClr>
                  <a:sysClr val="windowText" lastClr="000000"/>
                </a:fgClr>
                <a:bgClr>
                  <a:sysClr val="window" lastClr="FFFFFF"/>
                </a:bgClr>
              </a:pattFill>
              <a:ln>
                <a:solidFill>
                  <a:sysClr val="windowText" lastClr="000000"/>
                </a:solidFill>
              </a:ln>
            </c:spPr>
          </c:dPt>
          <c:dPt>
            <c:idx val="11"/>
            <c:invertIfNegative val="0"/>
            <c:bubble3D val="0"/>
            <c:spPr>
              <a:pattFill prst="ltDnDiag">
                <a:fgClr>
                  <a:sysClr val="windowText" lastClr="000000"/>
                </a:fgClr>
                <a:bgClr>
                  <a:sysClr val="window" lastClr="FFFFFF"/>
                </a:bgClr>
              </a:pattFill>
              <a:ln>
                <a:solidFill>
                  <a:sysClr val="windowText" lastClr="000000"/>
                </a:solidFill>
              </a:ln>
            </c:spPr>
          </c:dPt>
          <c:dPt>
            <c:idx val="12"/>
            <c:invertIfNegative val="0"/>
            <c:bubble3D val="0"/>
            <c:spPr>
              <a:pattFill prst="pct10">
                <a:fgClr>
                  <a:sysClr val="windowText" lastClr="000000"/>
                </a:fgClr>
                <a:bgClr>
                  <a:sysClr val="window" lastClr="FFFFFF"/>
                </a:bgClr>
              </a:pattFill>
              <a:ln>
                <a:solidFill>
                  <a:sysClr val="windowText" lastClr="000000"/>
                </a:solidFill>
              </a:ln>
            </c:spPr>
          </c:dPt>
          <c:dPt>
            <c:idx val="13"/>
            <c:invertIfNegative val="0"/>
            <c:bubble3D val="0"/>
            <c:spPr>
              <a:pattFill prst="ltDnDiag">
                <a:fgClr>
                  <a:sysClr val="windowText" lastClr="000000"/>
                </a:fgClr>
                <a:bgClr>
                  <a:sysClr val="window" lastClr="FFFFFF"/>
                </a:bgClr>
              </a:pattFill>
              <a:ln>
                <a:solidFill>
                  <a:sysClr val="windowText" lastClr="000000"/>
                </a:solidFill>
              </a:ln>
            </c:spPr>
          </c:dPt>
          <c:dPt>
            <c:idx val="14"/>
            <c:invertIfNegative val="0"/>
            <c:bubble3D val="0"/>
            <c:spPr>
              <a:pattFill prst="pct10">
                <a:fgClr>
                  <a:sysClr val="windowText" lastClr="000000"/>
                </a:fgClr>
                <a:bgClr>
                  <a:sysClr val="window" lastClr="FFFFFF"/>
                </a:bgClr>
              </a:pattFill>
              <a:ln>
                <a:solidFill>
                  <a:sysClr val="windowText" lastClr="000000"/>
                </a:solidFill>
              </a:ln>
            </c:spPr>
          </c:dPt>
          <c:dPt>
            <c:idx val="15"/>
            <c:invertIfNegative val="0"/>
            <c:bubble3D val="0"/>
            <c:spPr>
              <a:pattFill prst="ltDnDiag">
                <a:fgClr>
                  <a:sysClr val="windowText" lastClr="000000"/>
                </a:fgClr>
                <a:bgClr>
                  <a:sysClr val="window" lastClr="FFFFFF"/>
                </a:bgClr>
              </a:pattFill>
              <a:ln>
                <a:solidFill>
                  <a:sysClr val="windowText" lastClr="000000"/>
                </a:solidFill>
              </a:ln>
            </c:spPr>
          </c:dPt>
          <c:dPt>
            <c:idx val="16"/>
            <c:invertIfNegative val="0"/>
            <c:bubble3D val="0"/>
            <c:spPr>
              <a:pattFill prst="pct10">
                <a:fgClr>
                  <a:sysClr val="windowText" lastClr="000000"/>
                </a:fgClr>
                <a:bgClr>
                  <a:sysClr val="window" lastClr="FFFFFF"/>
                </a:bgClr>
              </a:pattFill>
              <a:ln>
                <a:solidFill>
                  <a:sysClr val="windowText" lastClr="000000"/>
                </a:solidFill>
              </a:ln>
            </c:spPr>
          </c:dPt>
          <c:dPt>
            <c:idx val="17"/>
            <c:invertIfNegative val="0"/>
            <c:bubble3D val="0"/>
            <c:spPr>
              <a:pattFill prst="ltDnDiag">
                <a:fgClr>
                  <a:sysClr val="windowText" lastClr="000000"/>
                </a:fgClr>
                <a:bgClr>
                  <a:sysClr val="window" lastClr="FFFFFF"/>
                </a:bgClr>
              </a:pattFill>
              <a:ln>
                <a:solidFill>
                  <a:sysClr val="windowText" lastClr="000000"/>
                </a:solidFill>
              </a:ln>
            </c:spPr>
          </c:dPt>
          <c:dPt>
            <c:idx val="18"/>
            <c:invertIfNegative val="0"/>
            <c:bubble3D val="0"/>
            <c:spPr>
              <a:pattFill prst="pct10">
                <a:fgClr>
                  <a:sysClr val="windowText" lastClr="000000"/>
                </a:fgClr>
                <a:bgClr>
                  <a:sysClr val="window" lastClr="FFFFFF"/>
                </a:bgClr>
              </a:pattFill>
              <a:ln>
                <a:solidFill>
                  <a:sysClr val="windowText" lastClr="000000"/>
                </a:solidFill>
              </a:ln>
            </c:spPr>
          </c:dPt>
          <c:dPt>
            <c:idx val="19"/>
            <c:invertIfNegative val="0"/>
            <c:bubble3D val="0"/>
            <c:spPr>
              <a:pattFill prst="ltDnDiag">
                <a:fgClr>
                  <a:sysClr val="windowText" lastClr="000000"/>
                </a:fgClr>
                <a:bgClr>
                  <a:sysClr val="window" lastClr="FFFFFF"/>
                </a:bgClr>
              </a:pattFill>
              <a:ln>
                <a:solidFill>
                  <a:sysClr val="windowText" lastClr="000000"/>
                </a:solidFill>
              </a:ln>
            </c:spPr>
          </c:dPt>
          <c:cat>
            <c:strRef>
              <c:f>'Median TF,SFA,MUFA,PUFA,TFA (2'!$C$3:$C$30</c:f>
              <c:strCache>
                <c:ptCount val="20"/>
                <c:pt idx="0">
                  <c:v>Chocolate Biscuits</c:v>
                </c:pt>
                <c:pt idx="1">
                  <c:v>Chocolate Biscuits</c:v>
                </c:pt>
                <c:pt idx="2">
                  <c:v>Cream Biscuits</c:v>
                </c:pt>
                <c:pt idx="3">
                  <c:v>Cream Biscuits</c:v>
                </c:pt>
                <c:pt idx="4">
                  <c:v>Croissant</c:v>
                </c:pt>
                <c:pt idx="5">
                  <c:v>Croissant</c:v>
                </c:pt>
                <c:pt idx="6">
                  <c:v>Custard Danish</c:v>
                </c:pt>
                <c:pt idx="7">
                  <c:v>Custard Baked Goods</c:v>
                </c:pt>
                <c:pt idx="8">
                  <c:v>Donut</c:v>
                </c:pt>
                <c:pt idx="9">
                  <c:v>Donut</c:v>
                </c:pt>
                <c:pt idx="10">
                  <c:v>Pikelets/Pancakes</c:v>
                </c:pt>
                <c:pt idx="11">
                  <c:v>Pikelets/Pancakes</c:v>
                </c:pt>
                <c:pt idx="12">
                  <c:v>Prepared Pastry</c:v>
                </c:pt>
                <c:pt idx="13">
                  <c:v>Prepared Pastry</c:v>
                </c:pt>
                <c:pt idx="14">
                  <c:v>Savoury Biscuits</c:v>
                </c:pt>
                <c:pt idx="15">
                  <c:v>Savoury Biscuits- Standard</c:v>
                </c:pt>
                <c:pt idx="16">
                  <c:v>Shelf Stable Cakes</c:v>
                </c:pt>
                <c:pt idx="17">
                  <c:v>Shelf Stable Cakes</c:v>
                </c:pt>
                <c:pt idx="18">
                  <c:v>Muffins</c:v>
                </c:pt>
                <c:pt idx="19">
                  <c:v>Sweet Muffins &amp; Banana Bread</c:v>
                </c:pt>
              </c:strCache>
            </c:strRef>
          </c:cat>
          <c:val>
            <c:numRef>
              <c:f>'Median TF,SFA,MUFA,PUFA,TFA (2'!$S$3:$S$30</c:f>
              <c:numCache>
                <c:formatCode>General</c:formatCode>
                <c:ptCount val="20"/>
                <c:pt idx="0">
                  <c:v>5.8139999999999992</c:v>
                </c:pt>
                <c:pt idx="1">
                  <c:v>4.9000000000000004</c:v>
                </c:pt>
                <c:pt idx="2">
                  <c:v>4.8800000000000008</c:v>
                </c:pt>
                <c:pt idx="3">
                  <c:v>3.5399999999999991</c:v>
                </c:pt>
                <c:pt idx="4">
                  <c:v>4.4400000000000013</c:v>
                </c:pt>
                <c:pt idx="5">
                  <c:v>5.16</c:v>
                </c:pt>
                <c:pt idx="6">
                  <c:v>5.2449999999999992</c:v>
                </c:pt>
                <c:pt idx="7">
                  <c:v>3.5554999999999994</c:v>
                </c:pt>
                <c:pt idx="8">
                  <c:v>3.8100000000000005</c:v>
                </c:pt>
                <c:pt idx="9">
                  <c:v>4.8215000000000003</c:v>
                </c:pt>
                <c:pt idx="10">
                  <c:v>0.29999999999999993</c:v>
                </c:pt>
                <c:pt idx="11">
                  <c:v>0.16499999999999992</c:v>
                </c:pt>
                <c:pt idx="12">
                  <c:v>7.8199999999999994</c:v>
                </c:pt>
                <c:pt idx="13">
                  <c:v>4.532</c:v>
                </c:pt>
                <c:pt idx="14">
                  <c:v>8.24</c:v>
                </c:pt>
                <c:pt idx="15">
                  <c:v>4.6399999999999997</c:v>
                </c:pt>
                <c:pt idx="16">
                  <c:v>3.6599999999999997</c:v>
                </c:pt>
                <c:pt idx="17">
                  <c:v>4.2984999999999989</c:v>
                </c:pt>
                <c:pt idx="18">
                  <c:v>2.25</c:v>
                </c:pt>
                <c:pt idx="19">
                  <c:v>0.97199999999999998</c:v>
                </c:pt>
              </c:numCache>
            </c:numRef>
          </c:val>
        </c:ser>
        <c:ser>
          <c:idx val="2"/>
          <c:order val="2"/>
          <c:tx>
            <c:strRef>
              <c:f>'Median TF,SFA,MUFA,PUFA,TFA (2'!$T$2</c:f>
              <c:strCache>
                <c:ptCount val="1"/>
                <c:pt idx="0">
                  <c:v>#REF!</c:v>
                </c:pt>
              </c:strCache>
            </c:strRef>
          </c:tx>
          <c:spPr>
            <a:pattFill prst="pct10">
              <a:fgClr>
                <a:sysClr val="windowText" lastClr="000000"/>
              </a:fgClr>
              <a:bgClr>
                <a:sysClr val="window" lastClr="FFFFFF"/>
              </a:bgClr>
            </a:pattFill>
            <a:ln>
              <a:solidFill>
                <a:sysClr val="windowText" lastClr="000000"/>
              </a:solidFill>
            </a:ln>
          </c:spPr>
          <c:invertIfNegative val="0"/>
          <c:dPt>
            <c:idx val="1"/>
            <c:invertIfNegative val="0"/>
            <c:bubble3D val="0"/>
            <c:spPr>
              <a:pattFill prst="ltDnDiag">
                <a:fgClr>
                  <a:sysClr val="windowText" lastClr="000000"/>
                </a:fgClr>
                <a:bgClr>
                  <a:sysClr val="window" lastClr="FFFFFF"/>
                </a:bgClr>
              </a:pattFill>
              <a:ln>
                <a:solidFill>
                  <a:sysClr val="windowText" lastClr="000000"/>
                </a:solidFill>
              </a:ln>
            </c:spPr>
          </c:dPt>
          <c:dPt>
            <c:idx val="3"/>
            <c:invertIfNegative val="0"/>
            <c:bubble3D val="0"/>
            <c:spPr>
              <a:pattFill prst="ltDnDiag">
                <a:fgClr>
                  <a:sysClr val="windowText" lastClr="000000"/>
                </a:fgClr>
                <a:bgClr>
                  <a:sysClr val="window" lastClr="FFFFFF"/>
                </a:bgClr>
              </a:pattFill>
              <a:ln>
                <a:solidFill>
                  <a:sysClr val="windowText" lastClr="000000"/>
                </a:solidFill>
              </a:ln>
            </c:spPr>
          </c:dPt>
          <c:dPt>
            <c:idx val="5"/>
            <c:invertIfNegative val="0"/>
            <c:bubble3D val="0"/>
            <c:spPr>
              <a:pattFill prst="ltDnDiag">
                <a:fgClr>
                  <a:sysClr val="windowText" lastClr="000000"/>
                </a:fgClr>
                <a:bgClr>
                  <a:sysClr val="window" lastClr="FFFFFF"/>
                </a:bgClr>
              </a:pattFill>
              <a:ln>
                <a:solidFill>
                  <a:sysClr val="windowText" lastClr="000000"/>
                </a:solidFill>
              </a:ln>
            </c:spPr>
          </c:dPt>
          <c:dPt>
            <c:idx val="7"/>
            <c:invertIfNegative val="0"/>
            <c:bubble3D val="0"/>
            <c:spPr>
              <a:pattFill prst="ltDnDiag">
                <a:fgClr>
                  <a:sysClr val="windowText" lastClr="000000"/>
                </a:fgClr>
                <a:bgClr>
                  <a:sysClr val="window" lastClr="FFFFFF"/>
                </a:bgClr>
              </a:pattFill>
              <a:ln>
                <a:solidFill>
                  <a:sysClr val="windowText" lastClr="000000"/>
                </a:solidFill>
              </a:ln>
            </c:spPr>
          </c:dPt>
          <c:dPt>
            <c:idx val="9"/>
            <c:invertIfNegative val="0"/>
            <c:bubble3D val="0"/>
            <c:spPr>
              <a:pattFill prst="ltDnDiag">
                <a:fgClr>
                  <a:sysClr val="windowText" lastClr="000000"/>
                </a:fgClr>
                <a:bgClr>
                  <a:sysClr val="window" lastClr="FFFFFF"/>
                </a:bgClr>
              </a:pattFill>
              <a:ln>
                <a:solidFill>
                  <a:sysClr val="windowText" lastClr="000000"/>
                </a:solidFill>
              </a:ln>
            </c:spPr>
          </c:dPt>
          <c:dPt>
            <c:idx val="11"/>
            <c:invertIfNegative val="0"/>
            <c:bubble3D val="0"/>
            <c:spPr>
              <a:pattFill prst="ltDnDiag">
                <a:fgClr>
                  <a:sysClr val="windowText" lastClr="000000"/>
                </a:fgClr>
                <a:bgClr>
                  <a:sysClr val="window" lastClr="FFFFFF"/>
                </a:bgClr>
              </a:pattFill>
              <a:ln>
                <a:solidFill>
                  <a:sysClr val="windowText" lastClr="000000"/>
                </a:solidFill>
              </a:ln>
            </c:spPr>
          </c:dPt>
          <c:dPt>
            <c:idx val="13"/>
            <c:invertIfNegative val="0"/>
            <c:bubble3D val="0"/>
            <c:spPr>
              <a:pattFill prst="ltDnDiag">
                <a:fgClr>
                  <a:sysClr val="windowText" lastClr="000000"/>
                </a:fgClr>
                <a:bgClr>
                  <a:sysClr val="window" lastClr="FFFFFF"/>
                </a:bgClr>
              </a:pattFill>
              <a:ln>
                <a:solidFill>
                  <a:sysClr val="windowText" lastClr="000000"/>
                </a:solidFill>
              </a:ln>
            </c:spPr>
          </c:dPt>
          <c:dPt>
            <c:idx val="15"/>
            <c:invertIfNegative val="0"/>
            <c:bubble3D val="0"/>
            <c:spPr>
              <a:pattFill prst="ltDnDiag">
                <a:fgClr>
                  <a:sysClr val="windowText" lastClr="000000"/>
                </a:fgClr>
                <a:bgClr>
                  <a:sysClr val="window" lastClr="FFFFFF"/>
                </a:bgClr>
              </a:pattFill>
              <a:ln>
                <a:solidFill>
                  <a:sysClr val="windowText" lastClr="000000"/>
                </a:solidFill>
              </a:ln>
            </c:spPr>
          </c:dPt>
          <c:dPt>
            <c:idx val="17"/>
            <c:invertIfNegative val="0"/>
            <c:bubble3D val="0"/>
            <c:spPr>
              <a:pattFill prst="ltDnDiag">
                <a:fgClr>
                  <a:sysClr val="windowText" lastClr="000000"/>
                </a:fgClr>
                <a:bgClr>
                  <a:sysClr val="window" lastClr="FFFFFF"/>
                </a:bgClr>
              </a:pattFill>
              <a:ln>
                <a:solidFill>
                  <a:sysClr val="windowText" lastClr="000000"/>
                </a:solidFill>
              </a:ln>
            </c:spPr>
          </c:dPt>
          <c:dPt>
            <c:idx val="19"/>
            <c:invertIfNegative val="0"/>
            <c:bubble3D val="0"/>
            <c:spPr>
              <a:pattFill prst="ltDnDiag">
                <a:fgClr>
                  <a:sysClr val="windowText" lastClr="000000"/>
                </a:fgClr>
                <a:bgClr>
                  <a:sysClr val="window" lastClr="FFFFFF"/>
                </a:bgClr>
              </a:pattFill>
              <a:ln>
                <a:solidFill>
                  <a:sysClr val="windowText" lastClr="000000"/>
                </a:solidFill>
              </a:ln>
            </c:spPr>
          </c:dPt>
          <c:errBars>
            <c:errBarType val="plus"/>
            <c:errValType val="cust"/>
            <c:noEndCap val="0"/>
            <c:plus>
              <c:numRef>
                <c:f>'Median TF,SFA,MUFA,PUFA,TFA (2'!$V$4:$V$30</c:f>
                <c:numCache>
                  <c:formatCode>General</c:formatCode>
                  <c:ptCount val="20"/>
                  <c:pt idx="0">
                    <c:v>0.42000000000000171</c:v>
                  </c:pt>
                  <c:pt idx="1">
                    <c:v>8.1935000000000002</c:v>
                  </c:pt>
                  <c:pt idx="2">
                    <c:v>0.96000000000000085</c:v>
                  </c:pt>
                  <c:pt idx="3">
                    <c:v>0.21600000000000108</c:v>
                  </c:pt>
                  <c:pt idx="4">
                    <c:v>0.55999999999999872</c:v>
                  </c:pt>
                  <c:pt idx="5">
                    <c:v>0.72450000000000259</c:v>
                  </c:pt>
                  <c:pt idx="6">
                    <c:v>1.8700000000000028</c:v>
                  </c:pt>
                  <c:pt idx="7">
                    <c:v>2.4255000000000067</c:v>
                  </c:pt>
                  <c:pt idx="8">
                    <c:v>2.5560000000000009</c:v>
                  </c:pt>
                  <c:pt idx="9">
                    <c:v>2.6325000000000021</c:v>
                  </c:pt>
                  <c:pt idx="10">
                    <c:v>9.9999999999999978E-2</c:v>
                  </c:pt>
                  <c:pt idx="11">
                    <c:v>0.56700000000000061</c:v>
                  </c:pt>
                  <c:pt idx="12">
                    <c:v>1.9350000000000041</c:v>
                  </c:pt>
                  <c:pt idx="13">
                    <c:v>6.4140000000000157</c:v>
                  </c:pt>
                  <c:pt idx="14">
                    <c:v>1.9250000000000025</c:v>
                  </c:pt>
                  <c:pt idx="15">
                    <c:v>0.24000000000000021</c:v>
                  </c:pt>
                  <c:pt idx="16">
                    <c:v>1.0800000000000018</c:v>
                  </c:pt>
                  <c:pt idx="17">
                    <c:v>1.2254999999999985</c:v>
                  </c:pt>
                  <c:pt idx="18">
                    <c:v>1.0399999999999991</c:v>
                  </c:pt>
                  <c:pt idx="19">
                    <c:v>4.7300000000000058</c:v>
                  </c:pt>
                </c:numCache>
              </c:numRef>
            </c:plus>
            <c:minus>
              <c:numLit>
                <c:formatCode>General</c:formatCode>
                <c:ptCount val="1"/>
                <c:pt idx="0">
                  <c:v>1</c:v>
                </c:pt>
              </c:numLit>
            </c:minus>
          </c:errBars>
          <c:cat>
            <c:strRef>
              <c:f>'Median TF,SFA,MUFA,PUFA,TFA (2'!$C$3:$C$30</c:f>
              <c:strCache>
                <c:ptCount val="20"/>
                <c:pt idx="0">
                  <c:v>Chocolate Biscuits</c:v>
                </c:pt>
                <c:pt idx="1">
                  <c:v>Chocolate Biscuits</c:v>
                </c:pt>
                <c:pt idx="2">
                  <c:v>Cream Biscuits</c:v>
                </c:pt>
                <c:pt idx="3">
                  <c:v>Cream Biscuits</c:v>
                </c:pt>
                <c:pt idx="4">
                  <c:v>Croissant</c:v>
                </c:pt>
                <c:pt idx="5">
                  <c:v>Croissant</c:v>
                </c:pt>
                <c:pt idx="6">
                  <c:v>Custard Danish</c:v>
                </c:pt>
                <c:pt idx="7">
                  <c:v>Custard Baked Goods</c:v>
                </c:pt>
                <c:pt idx="8">
                  <c:v>Donut</c:v>
                </c:pt>
                <c:pt idx="9">
                  <c:v>Donut</c:v>
                </c:pt>
                <c:pt idx="10">
                  <c:v>Pikelets/Pancakes</c:v>
                </c:pt>
                <c:pt idx="11">
                  <c:v>Pikelets/Pancakes</c:v>
                </c:pt>
                <c:pt idx="12">
                  <c:v>Prepared Pastry</c:v>
                </c:pt>
                <c:pt idx="13">
                  <c:v>Prepared Pastry</c:v>
                </c:pt>
                <c:pt idx="14">
                  <c:v>Savoury Biscuits</c:v>
                </c:pt>
                <c:pt idx="15">
                  <c:v>Savoury Biscuits- Standard</c:v>
                </c:pt>
                <c:pt idx="16">
                  <c:v>Shelf Stable Cakes</c:v>
                </c:pt>
                <c:pt idx="17">
                  <c:v>Shelf Stable Cakes</c:v>
                </c:pt>
                <c:pt idx="18">
                  <c:v>Muffins</c:v>
                </c:pt>
                <c:pt idx="19">
                  <c:v>Sweet Muffins &amp; Banana Bread</c:v>
                </c:pt>
              </c:strCache>
            </c:strRef>
          </c:cat>
          <c:val>
            <c:numRef>
              <c:f>'Median TF,SFA,MUFA,PUFA,TFA (2'!$T$3:$T$30</c:f>
              <c:numCache>
                <c:formatCode>General</c:formatCode>
                <c:ptCount val="20"/>
                <c:pt idx="0">
                  <c:v>5.2799999999999976</c:v>
                </c:pt>
                <c:pt idx="1">
                  <c:v>3.6864999999999988</c:v>
                </c:pt>
                <c:pt idx="2">
                  <c:v>7.3399999999999963</c:v>
                </c:pt>
                <c:pt idx="3">
                  <c:v>6.0739999999999981</c:v>
                </c:pt>
                <c:pt idx="4">
                  <c:v>4.5399999999999991</c:v>
                </c:pt>
                <c:pt idx="5">
                  <c:v>2.2754999999999992</c:v>
                </c:pt>
                <c:pt idx="6">
                  <c:v>1.9649999999999981</c:v>
                </c:pt>
                <c:pt idx="7">
                  <c:v>5.6794999999999938</c:v>
                </c:pt>
                <c:pt idx="8">
                  <c:v>5.5239999999999991</c:v>
                </c:pt>
                <c:pt idx="9">
                  <c:v>4.697499999999998</c:v>
                </c:pt>
                <c:pt idx="10">
                  <c:v>0.20000000000000007</c:v>
                </c:pt>
                <c:pt idx="11">
                  <c:v>1.1029999999999993</c:v>
                </c:pt>
                <c:pt idx="12">
                  <c:v>4.7849999999999966</c:v>
                </c:pt>
                <c:pt idx="13">
                  <c:v>7.2959999999999852</c:v>
                </c:pt>
                <c:pt idx="14">
                  <c:v>3.1249999999999982</c:v>
                </c:pt>
                <c:pt idx="15">
                  <c:v>9.66</c:v>
                </c:pt>
                <c:pt idx="16">
                  <c:v>5.1199999999999983</c:v>
                </c:pt>
                <c:pt idx="17">
                  <c:v>9.2995000000000019</c:v>
                </c:pt>
                <c:pt idx="18">
                  <c:v>6</c:v>
                </c:pt>
                <c:pt idx="19">
                  <c:v>7.6699999999999937</c:v>
                </c:pt>
              </c:numCache>
            </c:numRef>
          </c:val>
        </c:ser>
        <c:dLbls>
          <c:showLegendKey val="0"/>
          <c:showVal val="0"/>
          <c:showCatName val="0"/>
          <c:showSerName val="0"/>
          <c:showPercent val="0"/>
          <c:showBubbleSize val="0"/>
        </c:dLbls>
        <c:gapWidth val="15"/>
        <c:overlap val="100"/>
        <c:axId val="59957632"/>
        <c:axId val="59959168"/>
      </c:barChart>
      <c:catAx>
        <c:axId val="59957632"/>
        <c:scaling>
          <c:orientation val="minMax"/>
        </c:scaling>
        <c:delete val="1"/>
        <c:axPos val="b"/>
        <c:majorTickMark val="out"/>
        <c:minorTickMark val="none"/>
        <c:tickLblPos val="nextTo"/>
        <c:crossAx val="59959168"/>
        <c:crosses val="autoZero"/>
        <c:auto val="1"/>
        <c:lblAlgn val="ctr"/>
        <c:lblOffset val="100"/>
        <c:noMultiLvlLbl val="0"/>
      </c:catAx>
      <c:valAx>
        <c:axId val="59959168"/>
        <c:scaling>
          <c:orientation val="minMax"/>
          <c:max val="30"/>
        </c:scaling>
        <c:delete val="0"/>
        <c:axPos val="l"/>
        <c:title>
          <c:tx>
            <c:rich>
              <a:bodyPr rot="-5400000" vert="horz"/>
              <a:lstStyle/>
              <a:p>
                <a:pPr>
                  <a:defRPr sz="1200"/>
                </a:pPr>
                <a:r>
                  <a:rPr lang="en-GB" sz="1200"/>
                  <a:t>(</a:t>
                </a:r>
                <a:r>
                  <a:rPr lang="en-GB" sz="1200" b="1" i="0" u="none" strike="noStrike" kern="1200" baseline="0">
                    <a:solidFill>
                      <a:sysClr val="windowText" lastClr="000000"/>
                    </a:solidFill>
                    <a:latin typeface="+mn-lt"/>
                    <a:ea typeface="+mn-ea"/>
                    <a:cs typeface="+mn-cs"/>
                  </a:rPr>
                  <a:t>g / 100 g  </a:t>
                </a:r>
                <a:r>
                  <a:rPr lang="en-GB" sz="1200"/>
                  <a:t>)</a:t>
                </a:r>
              </a:p>
            </c:rich>
          </c:tx>
          <c:layout/>
          <c:overlay val="0"/>
        </c:title>
        <c:numFmt formatCode="General" sourceLinked="1"/>
        <c:majorTickMark val="out"/>
        <c:minorTickMark val="none"/>
        <c:tickLblPos val="nextTo"/>
        <c:crossAx val="59957632"/>
        <c:crosses val="autoZero"/>
        <c:crossBetween val="between"/>
      </c:valAx>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814986466430249E-2"/>
          <c:y val="2.5850572609561789E-2"/>
          <c:w val="0.94152898641440708"/>
          <c:h val="0.7396149089321078"/>
        </c:manualLayout>
      </c:layout>
      <c:barChart>
        <c:barDir val="col"/>
        <c:grouping val="stacked"/>
        <c:varyColors val="0"/>
        <c:ser>
          <c:idx val="0"/>
          <c:order val="0"/>
          <c:spPr>
            <a:noFill/>
          </c:spPr>
          <c:invertIfNegative val="0"/>
          <c:errBars>
            <c:errBarType val="minus"/>
            <c:errValType val="cust"/>
            <c:noEndCap val="0"/>
            <c:plus>
              <c:numLit>
                <c:formatCode>General</c:formatCode>
                <c:ptCount val="1"/>
                <c:pt idx="0">
                  <c:v>1</c:v>
                </c:pt>
              </c:numLit>
            </c:plus>
            <c:minus>
              <c:numRef>
                <c:f>'TFA &amp; SFA Box Plots'!$W$31:$W$54</c:f>
                <c:numCache>
                  <c:formatCode>General</c:formatCode>
                  <c:ptCount val="20"/>
                  <c:pt idx="0">
                    <c:v>1.9999999999999574E-2</c:v>
                  </c:pt>
                  <c:pt idx="1">
                    <c:v>5.4999999999999716E-2</c:v>
                  </c:pt>
                  <c:pt idx="2">
                    <c:v>0.32000000000000028</c:v>
                  </c:pt>
                  <c:pt idx="3">
                    <c:v>0.68000000000000149</c:v>
                  </c:pt>
                  <c:pt idx="4">
                    <c:v>0.96</c:v>
                  </c:pt>
                  <c:pt idx="5">
                    <c:v>0</c:v>
                  </c:pt>
                  <c:pt idx="6">
                    <c:v>0.19000000000000039</c:v>
                  </c:pt>
                  <c:pt idx="7">
                    <c:v>0.51699999999999946</c:v>
                  </c:pt>
                  <c:pt idx="8">
                    <c:v>0.17999999999999972</c:v>
                  </c:pt>
                  <c:pt idx="9">
                    <c:v>0.30549999999999944</c:v>
                  </c:pt>
                  <c:pt idx="10">
                    <c:v>0.19999999999999996</c:v>
                  </c:pt>
                  <c:pt idx="11">
                    <c:v>0.39550000000000007</c:v>
                  </c:pt>
                  <c:pt idx="12">
                    <c:v>4.0000000000000924E-2</c:v>
                  </c:pt>
                  <c:pt idx="13">
                    <c:v>1.7400000000000002</c:v>
                  </c:pt>
                  <c:pt idx="14">
                    <c:v>0.1</c:v>
                  </c:pt>
                  <c:pt idx="15">
                    <c:v>3.8500000000000006E-2</c:v>
                  </c:pt>
                  <c:pt idx="16">
                    <c:v>0.20999999999999996</c:v>
                  </c:pt>
                  <c:pt idx="17">
                    <c:v>0.63000000000000034</c:v>
                  </c:pt>
                  <c:pt idx="18">
                    <c:v>6.0000000000000053E-2</c:v>
                  </c:pt>
                  <c:pt idx="19">
                    <c:v>0.31500000000000017</c:v>
                  </c:pt>
                </c:numCache>
              </c:numRef>
            </c:minus>
          </c:errBars>
          <c:cat>
            <c:strRef>
              <c:f>'TFA &amp; SFA Box Plots'!$C$31:$C$54</c:f>
              <c:strCache>
                <c:ptCount val="20"/>
                <c:pt idx="0">
                  <c:v>Blended Edible Oils</c:v>
                </c:pt>
                <c:pt idx="1">
                  <c:v>Vegetable Oil</c:v>
                </c:pt>
                <c:pt idx="2">
                  <c:v>Edible Oil Spreads</c:v>
                </c:pt>
                <c:pt idx="3">
                  <c:v>Edible Oil Spreads</c:v>
                </c:pt>
                <c:pt idx="4">
                  <c:v>Oil Based Dressings</c:v>
                </c:pt>
                <c:pt idx="5">
                  <c:v>Oil Based Dressings</c:v>
                </c:pt>
                <c:pt idx="6">
                  <c:v>Meat Pies</c:v>
                </c:pt>
                <c:pt idx="7">
                  <c:v>Meat Pies</c:v>
                </c:pt>
                <c:pt idx="8">
                  <c:v>Sausage Rolls</c:v>
                </c:pt>
                <c:pt idx="9">
                  <c:v>Sausage Rolls</c:v>
                </c:pt>
                <c:pt idx="10">
                  <c:v>Dry Mix Pasta</c:v>
                </c:pt>
                <c:pt idx="11">
                  <c:v>Dry Mix Pasta</c:v>
                </c:pt>
                <c:pt idx="12">
                  <c:v>Nut Based Spreads</c:v>
                </c:pt>
                <c:pt idx="13">
                  <c:v>Nut Based Spreads</c:v>
                </c:pt>
                <c:pt idx="14">
                  <c:v>Sauces</c:v>
                </c:pt>
                <c:pt idx="15">
                  <c:v>Sauces</c:v>
                </c:pt>
                <c:pt idx="16">
                  <c:v>Breakfast Bars</c:v>
                </c:pt>
                <c:pt idx="17">
                  <c:v>Snack Bars</c:v>
                </c:pt>
                <c:pt idx="18">
                  <c:v>Toasted Style Muesli Cereal</c:v>
                </c:pt>
                <c:pt idx="19">
                  <c:v>Toasted Style Muesli Cereal</c:v>
                </c:pt>
              </c:strCache>
            </c:strRef>
          </c:cat>
          <c:val>
            <c:numRef>
              <c:f>'TFA &amp; SFA Box Plots'!$R$31:$R$54</c:f>
              <c:numCache>
                <c:formatCode>General</c:formatCode>
                <c:ptCount val="20"/>
                <c:pt idx="0">
                  <c:v>7.22</c:v>
                </c:pt>
                <c:pt idx="1">
                  <c:v>7.2549999999999999</c:v>
                </c:pt>
                <c:pt idx="2">
                  <c:v>11.32</c:v>
                </c:pt>
                <c:pt idx="3">
                  <c:v>11.280000000000001</c:v>
                </c:pt>
                <c:pt idx="4">
                  <c:v>1.66</c:v>
                </c:pt>
                <c:pt idx="5">
                  <c:v>1.66</c:v>
                </c:pt>
                <c:pt idx="6">
                  <c:v>4.6900000000000004</c:v>
                </c:pt>
                <c:pt idx="7">
                  <c:v>4.6769999999999996</c:v>
                </c:pt>
                <c:pt idx="8">
                  <c:v>5.58</c:v>
                </c:pt>
                <c:pt idx="9">
                  <c:v>5.7154999999999996</c:v>
                </c:pt>
                <c:pt idx="10">
                  <c:v>1.7</c:v>
                </c:pt>
                <c:pt idx="11">
                  <c:v>0.93550000000000011</c:v>
                </c:pt>
                <c:pt idx="12">
                  <c:v>8.14</c:v>
                </c:pt>
                <c:pt idx="13">
                  <c:v>4.54</c:v>
                </c:pt>
                <c:pt idx="14">
                  <c:v>0.2</c:v>
                </c:pt>
                <c:pt idx="15">
                  <c:v>0.1285</c:v>
                </c:pt>
                <c:pt idx="16">
                  <c:v>1.31</c:v>
                </c:pt>
                <c:pt idx="17">
                  <c:v>2.0300000000000002</c:v>
                </c:pt>
                <c:pt idx="18">
                  <c:v>1.46</c:v>
                </c:pt>
                <c:pt idx="19">
                  <c:v>1.8850000000000002</c:v>
                </c:pt>
              </c:numCache>
            </c:numRef>
          </c:val>
        </c:ser>
        <c:ser>
          <c:idx val="1"/>
          <c:order val="1"/>
          <c:spPr>
            <a:solidFill>
              <a:schemeClr val="accent1"/>
            </a:solidFill>
            <a:ln>
              <a:solidFill>
                <a:sysClr val="windowText" lastClr="000000"/>
              </a:solidFill>
            </a:ln>
          </c:spPr>
          <c:invertIfNegative val="0"/>
          <c:dPt>
            <c:idx val="0"/>
            <c:invertIfNegative val="0"/>
            <c:bubble3D val="0"/>
            <c:spPr>
              <a:pattFill prst="pct10">
                <a:fgClr>
                  <a:sysClr val="windowText" lastClr="000000"/>
                </a:fgClr>
                <a:bgClr>
                  <a:sysClr val="window" lastClr="FFFFFF"/>
                </a:bgClr>
              </a:pattFill>
              <a:ln>
                <a:solidFill>
                  <a:sysClr val="windowText" lastClr="000000"/>
                </a:solidFill>
              </a:ln>
            </c:spPr>
          </c:dPt>
          <c:dPt>
            <c:idx val="1"/>
            <c:invertIfNegative val="0"/>
            <c:bubble3D val="0"/>
            <c:spPr>
              <a:pattFill prst="ltDnDiag">
                <a:fgClr>
                  <a:sysClr val="windowText" lastClr="000000"/>
                </a:fgClr>
                <a:bgClr>
                  <a:sysClr val="window" lastClr="FFFFFF"/>
                </a:bgClr>
              </a:pattFill>
              <a:ln>
                <a:solidFill>
                  <a:sysClr val="windowText" lastClr="000000"/>
                </a:solidFill>
              </a:ln>
            </c:spPr>
          </c:dPt>
          <c:dPt>
            <c:idx val="2"/>
            <c:invertIfNegative val="0"/>
            <c:bubble3D val="0"/>
            <c:spPr>
              <a:pattFill prst="pct10">
                <a:fgClr>
                  <a:sysClr val="windowText" lastClr="000000"/>
                </a:fgClr>
                <a:bgClr>
                  <a:sysClr val="window" lastClr="FFFFFF"/>
                </a:bgClr>
              </a:pattFill>
              <a:ln>
                <a:solidFill>
                  <a:sysClr val="windowText" lastClr="000000"/>
                </a:solidFill>
              </a:ln>
            </c:spPr>
          </c:dPt>
          <c:dPt>
            <c:idx val="3"/>
            <c:invertIfNegative val="0"/>
            <c:bubble3D val="0"/>
            <c:spPr>
              <a:pattFill prst="ltDnDiag">
                <a:fgClr>
                  <a:sysClr val="windowText" lastClr="000000"/>
                </a:fgClr>
                <a:bgClr>
                  <a:sysClr val="window" lastClr="FFFFFF"/>
                </a:bgClr>
              </a:pattFill>
              <a:ln>
                <a:solidFill>
                  <a:sysClr val="windowText" lastClr="000000"/>
                </a:solidFill>
              </a:ln>
            </c:spPr>
          </c:dPt>
          <c:dPt>
            <c:idx val="4"/>
            <c:invertIfNegative val="0"/>
            <c:bubble3D val="0"/>
            <c:spPr>
              <a:pattFill prst="pct10">
                <a:fgClr>
                  <a:sysClr val="windowText" lastClr="000000"/>
                </a:fgClr>
                <a:bgClr>
                  <a:sysClr val="window" lastClr="FFFFFF"/>
                </a:bgClr>
              </a:pattFill>
              <a:ln>
                <a:solidFill>
                  <a:sysClr val="windowText" lastClr="000000"/>
                </a:solidFill>
              </a:ln>
            </c:spPr>
          </c:dPt>
          <c:dPt>
            <c:idx val="5"/>
            <c:invertIfNegative val="0"/>
            <c:bubble3D val="0"/>
            <c:spPr>
              <a:pattFill prst="ltDnDiag">
                <a:fgClr>
                  <a:sysClr val="windowText" lastClr="000000"/>
                </a:fgClr>
                <a:bgClr>
                  <a:sysClr val="window" lastClr="FFFFFF"/>
                </a:bgClr>
              </a:pattFill>
              <a:ln>
                <a:solidFill>
                  <a:sysClr val="windowText" lastClr="000000"/>
                </a:solidFill>
              </a:ln>
            </c:spPr>
          </c:dPt>
          <c:dPt>
            <c:idx val="6"/>
            <c:invertIfNegative val="0"/>
            <c:bubble3D val="0"/>
            <c:spPr>
              <a:pattFill prst="pct10">
                <a:fgClr>
                  <a:sysClr val="windowText" lastClr="000000"/>
                </a:fgClr>
                <a:bgClr>
                  <a:sysClr val="window" lastClr="FFFFFF"/>
                </a:bgClr>
              </a:pattFill>
              <a:ln>
                <a:solidFill>
                  <a:sysClr val="windowText" lastClr="000000"/>
                </a:solidFill>
              </a:ln>
            </c:spPr>
          </c:dPt>
          <c:dPt>
            <c:idx val="7"/>
            <c:invertIfNegative val="0"/>
            <c:bubble3D val="0"/>
            <c:spPr>
              <a:pattFill prst="ltDnDiag">
                <a:fgClr>
                  <a:sysClr val="windowText" lastClr="000000"/>
                </a:fgClr>
                <a:bgClr>
                  <a:sysClr val="window" lastClr="FFFFFF"/>
                </a:bgClr>
              </a:pattFill>
              <a:ln>
                <a:solidFill>
                  <a:sysClr val="windowText" lastClr="000000"/>
                </a:solidFill>
              </a:ln>
            </c:spPr>
          </c:dPt>
          <c:dPt>
            <c:idx val="8"/>
            <c:invertIfNegative val="0"/>
            <c:bubble3D val="0"/>
            <c:spPr>
              <a:pattFill prst="pct10">
                <a:fgClr>
                  <a:sysClr val="windowText" lastClr="000000"/>
                </a:fgClr>
                <a:bgClr>
                  <a:sysClr val="window" lastClr="FFFFFF"/>
                </a:bgClr>
              </a:pattFill>
              <a:ln>
                <a:solidFill>
                  <a:sysClr val="windowText" lastClr="000000"/>
                </a:solidFill>
              </a:ln>
            </c:spPr>
          </c:dPt>
          <c:dPt>
            <c:idx val="9"/>
            <c:invertIfNegative val="0"/>
            <c:bubble3D val="0"/>
            <c:spPr>
              <a:pattFill prst="ltDnDiag">
                <a:fgClr>
                  <a:sysClr val="windowText" lastClr="000000"/>
                </a:fgClr>
                <a:bgClr>
                  <a:sysClr val="window" lastClr="FFFFFF"/>
                </a:bgClr>
              </a:pattFill>
              <a:ln>
                <a:solidFill>
                  <a:sysClr val="windowText" lastClr="000000"/>
                </a:solidFill>
              </a:ln>
            </c:spPr>
          </c:dPt>
          <c:dPt>
            <c:idx val="10"/>
            <c:invertIfNegative val="0"/>
            <c:bubble3D val="0"/>
            <c:spPr>
              <a:pattFill prst="pct10">
                <a:fgClr>
                  <a:sysClr val="windowText" lastClr="000000"/>
                </a:fgClr>
                <a:bgClr>
                  <a:sysClr val="window" lastClr="FFFFFF"/>
                </a:bgClr>
              </a:pattFill>
              <a:ln>
                <a:solidFill>
                  <a:sysClr val="windowText" lastClr="000000"/>
                </a:solidFill>
              </a:ln>
            </c:spPr>
          </c:dPt>
          <c:dPt>
            <c:idx val="11"/>
            <c:invertIfNegative val="0"/>
            <c:bubble3D val="0"/>
            <c:spPr>
              <a:pattFill prst="ltDnDiag">
                <a:fgClr>
                  <a:sysClr val="windowText" lastClr="000000"/>
                </a:fgClr>
                <a:bgClr>
                  <a:sysClr val="window" lastClr="FFFFFF"/>
                </a:bgClr>
              </a:pattFill>
              <a:ln>
                <a:solidFill>
                  <a:sysClr val="windowText" lastClr="000000"/>
                </a:solidFill>
              </a:ln>
            </c:spPr>
          </c:dPt>
          <c:dPt>
            <c:idx val="12"/>
            <c:invertIfNegative val="0"/>
            <c:bubble3D val="0"/>
            <c:spPr>
              <a:pattFill prst="pct10">
                <a:fgClr>
                  <a:sysClr val="windowText" lastClr="000000"/>
                </a:fgClr>
                <a:bgClr>
                  <a:sysClr val="window" lastClr="FFFFFF"/>
                </a:bgClr>
              </a:pattFill>
              <a:ln>
                <a:solidFill>
                  <a:sysClr val="windowText" lastClr="000000"/>
                </a:solidFill>
              </a:ln>
            </c:spPr>
          </c:dPt>
          <c:dPt>
            <c:idx val="13"/>
            <c:invertIfNegative val="0"/>
            <c:bubble3D val="0"/>
            <c:spPr>
              <a:pattFill prst="ltDnDiag">
                <a:fgClr>
                  <a:sysClr val="windowText" lastClr="000000"/>
                </a:fgClr>
                <a:bgClr>
                  <a:sysClr val="window" lastClr="FFFFFF"/>
                </a:bgClr>
              </a:pattFill>
              <a:ln>
                <a:solidFill>
                  <a:sysClr val="windowText" lastClr="000000"/>
                </a:solidFill>
              </a:ln>
            </c:spPr>
          </c:dPt>
          <c:dPt>
            <c:idx val="14"/>
            <c:invertIfNegative val="0"/>
            <c:bubble3D val="0"/>
            <c:spPr>
              <a:pattFill prst="pct10">
                <a:fgClr>
                  <a:sysClr val="windowText" lastClr="000000"/>
                </a:fgClr>
                <a:bgClr>
                  <a:sysClr val="window" lastClr="FFFFFF"/>
                </a:bgClr>
              </a:pattFill>
              <a:ln>
                <a:solidFill>
                  <a:sysClr val="windowText" lastClr="000000"/>
                </a:solidFill>
              </a:ln>
            </c:spPr>
          </c:dPt>
          <c:dPt>
            <c:idx val="15"/>
            <c:invertIfNegative val="0"/>
            <c:bubble3D val="0"/>
            <c:spPr>
              <a:pattFill prst="ltDnDiag">
                <a:fgClr>
                  <a:sysClr val="windowText" lastClr="000000"/>
                </a:fgClr>
                <a:bgClr>
                  <a:sysClr val="window" lastClr="FFFFFF"/>
                </a:bgClr>
              </a:pattFill>
              <a:ln>
                <a:solidFill>
                  <a:sysClr val="windowText" lastClr="000000"/>
                </a:solidFill>
              </a:ln>
            </c:spPr>
          </c:dPt>
          <c:dPt>
            <c:idx val="16"/>
            <c:invertIfNegative val="0"/>
            <c:bubble3D val="0"/>
            <c:spPr>
              <a:pattFill prst="pct10">
                <a:fgClr>
                  <a:sysClr val="windowText" lastClr="000000"/>
                </a:fgClr>
                <a:bgClr>
                  <a:sysClr val="window" lastClr="FFFFFF"/>
                </a:bgClr>
              </a:pattFill>
              <a:ln>
                <a:solidFill>
                  <a:sysClr val="windowText" lastClr="000000"/>
                </a:solidFill>
              </a:ln>
            </c:spPr>
          </c:dPt>
          <c:dPt>
            <c:idx val="17"/>
            <c:invertIfNegative val="0"/>
            <c:bubble3D val="0"/>
            <c:spPr>
              <a:pattFill prst="ltDnDiag">
                <a:fgClr>
                  <a:sysClr val="windowText" lastClr="000000"/>
                </a:fgClr>
                <a:bgClr>
                  <a:sysClr val="window" lastClr="FFFFFF"/>
                </a:bgClr>
              </a:pattFill>
              <a:ln>
                <a:solidFill>
                  <a:sysClr val="windowText" lastClr="000000"/>
                </a:solidFill>
              </a:ln>
            </c:spPr>
          </c:dPt>
          <c:dPt>
            <c:idx val="18"/>
            <c:invertIfNegative val="0"/>
            <c:bubble3D val="0"/>
            <c:spPr>
              <a:pattFill prst="pct10">
                <a:fgClr>
                  <a:sysClr val="windowText" lastClr="000000"/>
                </a:fgClr>
                <a:bgClr>
                  <a:sysClr val="window" lastClr="FFFFFF"/>
                </a:bgClr>
              </a:pattFill>
              <a:ln>
                <a:solidFill>
                  <a:sysClr val="windowText" lastClr="000000"/>
                </a:solidFill>
              </a:ln>
            </c:spPr>
          </c:dPt>
          <c:dPt>
            <c:idx val="19"/>
            <c:invertIfNegative val="0"/>
            <c:bubble3D val="0"/>
            <c:spPr>
              <a:pattFill prst="ltDnDiag">
                <a:fgClr>
                  <a:sysClr val="windowText" lastClr="000000"/>
                </a:fgClr>
                <a:bgClr>
                  <a:sysClr val="window" lastClr="FFFFFF"/>
                </a:bgClr>
              </a:pattFill>
              <a:ln>
                <a:solidFill>
                  <a:sysClr val="windowText" lastClr="000000"/>
                </a:solidFill>
              </a:ln>
            </c:spPr>
          </c:dPt>
          <c:cat>
            <c:strRef>
              <c:f>'TFA &amp; SFA Box Plots'!$C$31:$C$54</c:f>
              <c:strCache>
                <c:ptCount val="20"/>
                <c:pt idx="0">
                  <c:v>Blended Edible Oils</c:v>
                </c:pt>
                <c:pt idx="1">
                  <c:v>Vegetable Oil</c:v>
                </c:pt>
                <c:pt idx="2">
                  <c:v>Edible Oil Spreads</c:v>
                </c:pt>
                <c:pt idx="3">
                  <c:v>Edible Oil Spreads</c:v>
                </c:pt>
                <c:pt idx="4">
                  <c:v>Oil Based Dressings</c:v>
                </c:pt>
                <c:pt idx="5">
                  <c:v>Oil Based Dressings</c:v>
                </c:pt>
                <c:pt idx="6">
                  <c:v>Meat Pies</c:v>
                </c:pt>
                <c:pt idx="7">
                  <c:v>Meat Pies</c:v>
                </c:pt>
                <c:pt idx="8">
                  <c:v>Sausage Rolls</c:v>
                </c:pt>
                <c:pt idx="9">
                  <c:v>Sausage Rolls</c:v>
                </c:pt>
                <c:pt idx="10">
                  <c:v>Dry Mix Pasta</c:v>
                </c:pt>
                <c:pt idx="11">
                  <c:v>Dry Mix Pasta</c:v>
                </c:pt>
                <c:pt idx="12">
                  <c:v>Nut Based Spreads</c:v>
                </c:pt>
                <c:pt idx="13">
                  <c:v>Nut Based Spreads</c:v>
                </c:pt>
                <c:pt idx="14">
                  <c:v>Sauces</c:v>
                </c:pt>
                <c:pt idx="15">
                  <c:v>Sauces</c:v>
                </c:pt>
                <c:pt idx="16">
                  <c:v>Breakfast Bars</c:v>
                </c:pt>
                <c:pt idx="17">
                  <c:v>Snack Bars</c:v>
                </c:pt>
                <c:pt idx="18">
                  <c:v>Toasted Style Muesli Cereal</c:v>
                </c:pt>
                <c:pt idx="19">
                  <c:v>Toasted Style Muesli Cereal</c:v>
                </c:pt>
              </c:strCache>
            </c:strRef>
          </c:cat>
          <c:val>
            <c:numRef>
              <c:f>'TFA &amp; SFA Box Plots'!$S$31:$S$54</c:f>
              <c:numCache>
                <c:formatCode>General</c:formatCode>
                <c:ptCount val="20"/>
                <c:pt idx="0">
                  <c:v>8.68</c:v>
                </c:pt>
                <c:pt idx="1">
                  <c:v>7.1949999999999994</c:v>
                </c:pt>
                <c:pt idx="2">
                  <c:v>4.18</c:v>
                </c:pt>
                <c:pt idx="3">
                  <c:v>4.3699999999999974</c:v>
                </c:pt>
                <c:pt idx="4">
                  <c:v>7.6400000000000006</c:v>
                </c:pt>
                <c:pt idx="5">
                  <c:v>1.0400000000000003</c:v>
                </c:pt>
                <c:pt idx="6">
                  <c:v>0.80999999999999961</c:v>
                </c:pt>
                <c:pt idx="7">
                  <c:v>1.2680000000000007</c:v>
                </c:pt>
                <c:pt idx="8">
                  <c:v>1.3200000000000003</c:v>
                </c:pt>
                <c:pt idx="9">
                  <c:v>1.3345000000000002</c:v>
                </c:pt>
                <c:pt idx="10">
                  <c:v>1.0999999999999999</c:v>
                </c:pt>
                <c:pt idx="11">
                  <c:v>1.6844999999999999</c:v>
                </c:pt>
                <c:pt idx="12">
                  <c:v>1.3599999999999994</c:v>
                </c:pt>
                <c:pt idx="13">
                  <c:v>3.46</c:v>
                </c:pt>
                <c:pt idx="14">
                  <c:v>1.6500000000000001</c:v>
                </c:pt>
                <c:pt idx="15">
                  <c:v>1.5165</c:v>
                </c:pt>
                <c:pt idx="16">
                  <c:v>1.3900000000000001</c:v>
                </c:pt>
                <c:pt idx="17">
                  <c:v>5.47</c:v>
                </c:pt>
                <c:pt idx="18">
                  <c:v>0.94</c:v>
                </c:pt>
                <c:pt idx="19">
                  <c:v>0.91499999999999959</c:v>
                </c:pt>
              </c:numCache>
            </c:numRef>
          </c:val>
        </c:ser>
        <c:ser>
          <c:idx val="2"/>
          <c:order val="2"/>
          <c:spPr>
            <a:pattFill prst="pct10">
              <a:fgClr>
                <a:sysClr val="windowText" lastClr="000000"/>
              </a:fgClr>
              <a:bgClr>
                <a:sysClr val="window" lastClr="FFFFFF"/>
              </a:bgClr>
            </a:pattFill>
            <a:ln>
              <a:solidFill>
                <a:sysClr val="windowText" lastClr="000000"/>
              </a:solidFill>
            </a:ln>
          </c:spPr>
          <c:invertIfNegative val="0"/>
          <c:dPt>
            <c:idx val="1"/>
            <c:invertIfNegative val="0"/>
            <c:bubble3D val="0"/>
            <c:spPr>
              <a:pattFill prst="ltDnDiag">
                <a:fgClr>
                  <a:sysClr val="windowText" lastClr="000000"/>
                </a:fgClr>
                <a:bgClr>
                  <a:sysClr val="window" lastClr="FFFFFF"/>
                </a:bgClr>
              </a:pattFill>
              <a:ln>
                <a:solidFill>
                  <a:sysClr val="windowText" lastClr="000000"/>
                </a:solidFill>
              </a:ln>
            </c:spPr>
          </c:dPt>
          <c:dPt>
            <c:idx val="3"/>
            <c:invertIfNegative val="0"/>
            <c:bubble3D val="0"/>
            <c:spPr>
              <a:pattFill prst="ltDnDiag">
                <a:fgClr>
                  <a:sysClr val="windowText" lastClr="000000"/>
                </a:fgClr>
                <a:bgClr>
                  <a:sysClr val="window" lastClr="FFFFFF"/>
                </a:bgClr>
              </a:pattFill>
              <a:ln>
                <a:solidFill>
                  <a:sysClr val="windowText" lastClr="000000"/>
                </a:solidFill>
              </a:ln>
            </c:spPr>
          </c:dPt>
          <c:dPt>
            <c:idx val="5"/>
            <c:invertIfNegative val="0"/>
            <c:bubble3D val="0"/>
            <c:spPr>
              <a:pattFill prst="ltDnDiag">
                <a:fgClr>
                  <a:sysClr val="windowText" lastClr="000000"/>
                </a:fgClr>
                <a:bgClr>
                  <a:sysClr val="window" lastClr="FFFFFF"/>
                </a:bgClr>
              </a:pattFill>
              <a:ln>
                <a:solidFill>
                  <a:sysClr val="windowText" lastClr="000000"/>
                </a:solidFill>
              </a:ln>
            </c:spPr>
          </c:dPt>
          <c:dPt>
            <c:idx val="7"/>
            <c:invertIfNegative val="0"/>
            <c:bubble3D val="0"/>
            <c:spPr>
              <a:pattFill prst="ltDnDiag">
                <a:fgClr>
                  <a:sysClr val="windowText" lastClr="000000"/>
                </a:fgClr>
                <a:bgClr>
                  <a:sysClr val="window" lastClr="FFFFFF"/>
                </a:bgClr>
              </a:pattFill>
              <a:ln>
                <a:solidFill>
                  <a:sysClr val="windowText" lastClr="000000"/>
                </a:solidFill>
              </a:ln>
            </c:spPr>
          </c:dPt>
          <c:dPt>
            <c:idx val="9"/>
            <c:invertIfNegative val="0"/>
            <c:bubble3D val="0"/>
            <c:spPr>
              <a:pattFill prst="ltDnDiag">
                <a:fgClr>
                  <a:sysClr val="windowText" lastClr="000000"/>
                </a:fgClr>
                <a:bgClr>
                  <a:sysClr val="window" lastClr="FFFFFF"/>
                </a:bgClr>
              </a:pattFill>
              <a:ln>
                <a:solidFill>
                  <a:sysClr val="windowText" lastClr="000000"/>
                </a:solidFill>
              </a:ln>
            </c:spPr>
          </c:dPt>
          <c:dPt>
            <c:idx val="11"/>
            <c:invertIfNegative val="0"/>
            <c:bubble3D val="0"/>
            <c:spPr>
              <a:pattFill prst="ltDnDiag">
                <a:fgClr>
                  <a:sysClr val="windowText" lastClr="000000"/>
                </a:fgClr>
                <a:bgClr>
                  <a:sysClr val="window" lastClr="FFFFFF"/>
                </a:bgClr>
              </a:pattFill>
              <a:ln>
                <a:solidFill>
                  <a:sysClr val="windowText" lastClr="000000"/>
                </a:solidFill>
              </a:ln>
            </c:spPr>
          </c:dPt>
          <c:dPt>
            <c:idx val="13"/>
            <c:invertIfNegative val="0"/>
            <c:bubble3D val="0"/>
            <c:spPr>
              <a:pattFill prst="ltDnDiag">
                <a:fgClr>
                  <a:sysClr val="windowText" lastClr="000000"/>
                </a:fgClr>
                <a:bgClr>
                  <a:sysClr val="window" lastClr="FFFFFF"/>
                </a:bgClr>
              </a:pattFill>
              <a:ln>
                <a:solidFill>
                  <a:sysClr val="windowText" lastClr="000000"/>
                </a:solidFill>
              </a:ln>
            </c:spPr>
          </c:dPt>
          <c:dPt>
            <c:idx val="15"/>
            <c:invertIfNegative val="0"/>
            <c:bubble3D val="0"/>
            <c:spPr>
              <a:pattFill prst="ltDnDiag">
                <a:fgClr>
                  <a:sysClr val="windowText" lastClr="000000"/>
                </a:fgClr>
                <a:bgClr>
                  <a:sysClr val="window" lastClr="FFFFFF"/>
                </a:bgClr>
              </a:pattFill>
              <a:ln>
                <a:solidFill>
                  <a:sysClr val="windowText" lastClr="000000"/>
                </a:solidFill>
              </a:ln>
            </c:spPr>
          </c:dPt>
          <c:dPt>
            <c:idx val="17"/>
            <c:invertIfNegative val="0"/>
            <c:bubble3D val="0"/>
            <c:spPr>
              <a:pattFill prst="ltDnDiag">
                <a:fgClr>
                  <a:sysClr val="windowText" lastClr="000000"/>
                </a:fgClr>
                <a:bgClr>
                  <a:sysClr val="window" lastClr="FFFFFF"/>
                </a:bgClr>
              </a:pattFill>
              <a:ln>
                <a:solidFill>
                  <a:sysClr val="windowText" lastClr="000000"/>
                </a:solidFill>
              </a:ln>
            </c:spPr>
          </c:dPt>
          <c:dPt>
            <c:idx val="19"/>
            <c:invertIfNegative val="0"/>
            <c:bubble3D val="0"/>
            <c:spPr>
              <a:pattFill prst="ltDnDiag">
                <a:fgClr>
                  <a:sysClr val="windowText" lastClr="000000"/>
                </a:fgClr>
                <a:bgClr>
                  <a:sysClr val="window" lastClr="FFFFFF"/>
                </a:bgClr>
              </a:pattFill>
              <a:ln>
                <a:solidFill>
                  <a:sysClr val="windowText" lastClr="000000"/>
                </a:solidFill>
              </a:ln>
            </c:spPr>
          </c:dPt>
          <c:errBars>
            <c:errBarType val="plus"/>
            <c:errValType val="cust"/>
            <c:noEndCap val="0"/>
            <c:plus>
              <c:numRef>
                <c:f>'TFA &amp; SFA Box Plots'!$V$31:$V$54</c:f>
                <c:numCache>
                  <c:formatCode>General</c:formatCode>
                  <c:ptCount val="20"/>
                  <c:pt idx="0">
                    <c:v>5.4400000000000048</c:v>
                  </c:pt>
                  <c:pt idx="1">
                    <c:v>0.56649999999999778</c:v>
                  </c:pt>
                  <c:pt idx="2">
                    <c:v>0.48000000000000043</c:v>
                  </c:pt>
                  <c:pt idx="3">
                    <c:v>13.855000000000025</c:v>
                  </c:pt>
                  <c:pt idx="4">
                    <c:v>0.19999999999999929</c:v>
                  </c:pt>
                  <c:pt idx="5">
                    <c:v>5.2500000000000213E-2</c:v>
                  </c:pt>
                  <c:pt idx="6">
                    <c:v>0.61749999999999972</c:v>
                  </c:pt>
                  <c:pt idx="7">
                    <c:v>0.60500000000000043</c:v>
                  </c:pt>
                  <c:pt idx="8">
                    <c:v>0.6390000000000029</c:v>
                  </c:pt>
                  <c:pt idx="9">
                    <c:v>0.37049999999999983</c:v>
                  </c:pt>
                  <c:pt idx="10">
                    <c:v>0.72000000000000064</c:v>
                  </c:pt>
                  <c:pt idx="11">
                    <c:v>0.20999999999999996</c:v>
                  </c:pt>
                  <c:pt idx="12">
                    <c:v>9.9999999999999645E-2</c:v>
                  </c:pt>
                  <c:pt idx="13">
                    <c:v>0.25200000000000067</c:v>
                  </c:pt>
                  <c:pt idx="14">
                    <c:v>0.57249999999999979</c:v>
                  </c:pt>
                  <c:pt idx="15">
                    <c:v>0.8260000000000014</c:v>
                  </c:pt>
                  <c:pt idx="16">
                    <c:v>3.0800000000000054</c:v>
                  </c:pt>
                  <c:pt idx="17">
                    <c:v>0.35000000000000142</c:v>
                  </c:pt>
                  <c:pt idx="18">
                    <c:v>0.10000000000000009</c:v>
                  </c:pt>
                  <c:pt idx="19">
                    <c:v>1.1000000000000005</c:v>
                  </c:pt>
                </c:numCache>
              </c:numRef>
            </c:plus>
            <c:minus>
              <c:numLit>
                <c:formatCode>General</c:formatCode>
                <c:ptCount val="1"/>
                <c:pt idx="0">
                  <c:v>1</c:v>
                </c:pt>
              </c:numLit>
            </c:minus>
          </c:errBars>
          <c:cat>
            <c:strRef>
              <c:f>'TFA &amp; SFA Box Plots'!$C$31:$C$54</c:f>
              <c:strCache>
                <c:ptCount val="20"/>
                <c:pt idx="0">
                  <c:v>Blended Edible Oils</c:v>
                </c:pt>
                <c:pt idx="1">
                  <c:v>Vegetable Oil</c:v>
                </c:pt>
                <c:pt idx="2">
                  <c:v>Edible Oil Spreads</c:v>
                </c:pt>
                <c:pt idx="3">
                  <c:v>Edible Oil Spreads</c:v>
                </c:pt>
                <c:pt idx="4">
                  <c:v>Oil Based Dressings</c:v>
                </c:pt>
                <c:pt idx="5">
                  <c:v>Oil Based Dressings</c:v>
                </c:pt>
                <c:pt idx="6">
                  <c:v>Meat Pies</c:v>
                </c:pt>
                <c:pt idx="7">
                  <c:v>Meat Pies</c:v>
                </c:pt>
                <c:pt idx="8">
                  <c:v>Sausage Rolls</c:v>
                </c:pt>
                <c:pt idx="9">
                  <c:v>Sausage Rolls</c:v>
                </c:pt>
                <c:pt idx="10">
                  <c:v>Dry Mix Pasta</c:v>
                </c:pt>
                <c:pt idx="11">
                  <c:v>Dry Mix Pasta</c:v>
                </c:pt>
                <c:pt idx="12">
                  <c:v>Nut Based Spreads</c:v>
                </c:pt>
                <c:pt idx="13">
                  <c:v>Nut Based Spreads</c:v>
                </c:pt>
                <c:pt idx="14">
                  <c:v>Sauces</c:v>
                </c:pt>
                <c:pt idx="15">
                  <c:v>Sauces</c:v>
                </c:pt>
                <c:pt idx="16">
                  <c:v>Breakfast Bars</c:v>
                </c:pt>
                <c:pt idx="17">
                  <c:v>Snack Bars</c:v>
                </c:pt>
                <c:pt idx="18">
                  <c:v>Toasted Style Muesli Cereal</c:v>
                </c:pt>
                <c:pt idx="19">
                  <c:v>Toasted Style Muesli Cereal</c:v>
                </c:pt>
              </c:strCache>
            </c:strRef>
          </c:cat>
          <c:val>
            <c:numRef>
              <c:f>'TFA &amp; SFA Box Plots'!$T$31:$T$54</c:f>
              <c:numCache>
                <c:formatCode>General</c:formatCode>
                <c:ptCount val="20"/>
                <c:pt idx="0">
                  <c:v>29.86</c:v>
                </c:pt>
                <c:pt idx="1">
                  <c:v>8.3135000000000012</c:v>
                </c:pt>
                <c:pt idx="2">
                  <c:v>2.620000000000001</c:v>
                </c:pt>
                <c:pt idx="3">
                  <c:v>5.9949999999999761</c:v>
                </c:pt>
                <c:pt idx="4">
                  <c:v>4.3000000000000007</c:v>
                </c:pt>
                <c:pt idx="5">
                  <c:v>6.1774999999999993</c:v>
                </c:pt>
                <c:pt idx="6">
                  <c:v>2.6325000000000003</c:v>
                </c:pt>
                <c:pt idx="7">
                  <c:v>0.94999999999999929</c:v>
                </c:pt>
                <c:pt idx="8">
                  <c:v>2.8609999999999971</c:v>
                </c:pt>
                <c:pt idx="9">
                  <c:v>2.6495000000000006</c:v>
                </c:pt>
                <c:pt idx="10">
                  <c:v>3.2799999999999994</c:v>
                </c:pt>
                <c:pt idx="11">
                  <c:v>1.67</c:v>
                </c:pt>
                <c:pt idx="12">
                  <c:v>0.90000000000000036</c:v>
                </c:pt>
                <c:pt idx="13">
                  <c:v>3.347999999999999</c:v>
                </c:pt>
                <c:pt idx="14">
                  <c:v>2.9674999999999998</c:v>
                </c:pt>
                <c:pt idx="15">
                  <c:v>2.3889999999999989</c:v>
                </c:pt>
                <c:pt idx="16">
                  <c:v>5.5199999999999951</c:v>
                </c:pt>
                <c:pt idx="17">
                  <c:v>2.6499999999999986</c:v>
                </c:pt>
                <c:pt idx="18">
                  <c:v>1.2999999999999998</c:v>
                </c:pt>
                <c:pt idx="19">
                  <c:v>3.3999999999999995</c:v>
                </c:pt>
              </c:numCache>
            </c:numRef>
          </c:val>
        </c:ser>
        <c:dLbls>
          <c:showLegendKey val="0"/>
          <c:showVal val="0"/>
          <c:showCatName val="0"/>
          <c:showSerName val="0"/>
          <c:showPercent val="0"/>
          <c:showBubbleSize val="0"/>
        </c:dLbls>
        <c:gapWidth val="15"/>
        <c:overlap val="100"/>
        <c:axId val="112206208"/>
        <c:axId val="112207744"/>
      </c:barChart>
      <c:catAx>
        <c:axId val="112206208"/>
        <c:scaling>
          <c:orientation val="minMax"/>
        </c:scaling>
        <c:delete val="1"/>
        <c:axPos val="b"/>
        <c:majorTickMark val="out"/>
        <c:minorTickMark val="none"/>
        <c:tickLblPos val="nextTo"/>
        <c:crossAx val="112207744"/>
        <c:crosses val="autoZero"/>
        <c:auto val="1"/>
        <c:lblAlgn val="ctr"/>
        <c:lblOffset val="100"/>
        <c:noMultiLvlLbl val="0"/>
      </c:catAx>
      <c:valAx>
        <c:axId val="112207744"/>
        <c:scaling>
          <c:orientation val="minMax"/>
        </c:scaling>
        <c:delete val="0"/>
        <c:axPos val="l"/>
        <c:title>
          <c:tx>
            <c:rich>
              <a:bodyPr rot="-5400000" vert="horz"/>
              <a:lstStyle/>
              <a:p>
                <a:pPr>
                  <a:defRPr sz="1200"/>
                </a:pPr>
                <a:r>
                  <a:rPr lang="en-GB" sz="1200"/>
                  <a:t>(</a:t>
                </a:r>
                <a:r>
                  <a:rPr lang="en-GB" sz="1200" b="1" i="0" u="none" strike="noStrike" kern="1200" baseline="0">
                    <a:solidFill>
                      <a:sysClr val="windowText" lastClr="000000"/>
                    </a:solidFill>
                    <a:latin typeface="+mn-lt"/>
                    <a:ea typeface="+mn-ea"/>
                    <a:cs typeface="+mn-cs"/>
                  </a:rPr>
                  <a:t>g / 100 g </a:t>
                </a:r>
                <a:r>
                  <a:rPr lang="en-GB" sz="1200"/>
                  <a:t>)</a:t>
                </a:r>
              </a:p>
            </c:rich>
          </c:tx>
          <c:layout/>
          <c:overlay val="0"/>
        </c:title>
        <c:numFmt formatCode="General" sourceLinked="1"/>
        <c:majorTickMark val="out"/>
        <c:minorTickMark val="none"/>
        <c:tickLblPos val="nextTo"/>
        <c:crossAx val="112206208"/>
        <c:crosses val="autoZero"/>
        <c:crossBetween val="between"/>
      </c:valAx>
    </c:plotArea>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632817498571075E-2"/>
          <c:y val="2.6953952215334937E-2"/>
          <c:w val="0.95136720092729521"/>
          <c:h val="0.72760875191972507"/>
        </c:manualLayout>
      </c:layout>
      <c:barChart>
        <c:barDir val="col"/>
        <c:grouping val="stacked"/>
        <c:varyColors val="0"/>
        <c:ser>
          <c:idx val="0"/>
          <c:order val="0"/>
          <c:spPr>
            <a:noFill/>
          </c:spPr>
          <c:invertIfNegative val="0"/>
          <c:errBars>
            <c:errBarType val="minus"/>
            <c:errValType val="cust"/>
            <c:noEndCap val="0"/>
            <c:plus>
              <c:numLit>
                <c:formatCode>General</c:formatCode>
                <c:ptCount val="1"/>
                <c:pt idx="0">
                  <c:v>1</c:v>
                </c:pt>
              </c:numLit>
            </c:plus>
            <c:minus>
              <c:numRef>
                <c:f>'TFA &amp; SFA Box Plots'!$W$56:$W$78</c:f>
                <c:numCache>
                  <c:formatCode>General</c:formatCode>
                  <c:ptCount val="22"/>
                  <c:pt idx="0">
                    <c:v>0.4350000000000005</c:v>
                  </c:pt>
                  <c:pt idx="1">
                    <c:v>0.48</c:v>
                  </c:pt>
                  <c:pt idx="2">
                    <c:v>3.0015000000000001</c:v>
                  </c:pt>
                  <c:pt idx="3">
                    <c:v>0</c:v>
                  </c:pt>
                  <c:pt idx="4">
                    <c:v>1.2600000000000005</c:v>
                  </c:pt>
                  <c:pt idx="5">
                    <c:v>0.12750000000000039</c:v>
                  </c:pt>
                  <c:pt idx="6">
                    <c:v>2.4999999999999911E-2</c:v>
                  </c:pt>
                  <c:pt idx="7">
                    <c:v>0.20000000000000018</c:v>
                  </c:pt>
                  <c:pt idx="8">
                    <c:v>0.14999999999999991</c:v>
                  </c:pt>
                  <c:pt idx="9">
                    <c:v>0.29999999999999993</c:v>
                  </c:pt>
                  <c:pt idx="10">
                    <c:v>8.0000000000000071E-2</c:v>
                  </c:pt>
                  <c:pt idx="11">
                    <c:v>0.12800000000000011</c:v>
                  </c:pt>
                  <c:pt idx="12">
                    <c:v>0</c:v>
                  </c:pt>
                  <c:pt idx="13">
                    <c:v>0.16000000000000003</c:v>
                  </c:pt>
                  <c:pt idx="14">
                    <c:v>0.21999999999999997</c:v>
                  </c:pt>
                  <c:pt idx="15">
                    <c:v>4.0000000000000036E-2</c:v>
                  </c:pt>
                  <c:pt idx="16">
                    <c:v>6.4999999999999947E-2</c:v>
                  </c:pt>
                  <c:pt idx="17">
                    <c:v>0.28500000000000014</c:v>
                  </c:pt>
                  <c:pt idx="18">
                    <c:v>6.4999999999999947E-2</c:v>
                  </c:pt>
                  <c:pt idx="19">
                    <c:v>0.66400000000000003</c:v>
                  </c:pt>
                  <c:pt idx="20">
                    <c:v>7.4999999999999956E-2</c:v>
                  </c:pt>
                  <c:pt idx="21">
                    <c:v>0.33599999999999997</c:v>
                  </c:pt>
                </c:numCache>
              </c:numRef>
            </c:minus>
          </c:errBars>
          <c:cat>
            <c:strRef>
              <c:f>'TFA &amp; SFA Box Plots'!$C$56:$C$78</c:f>
              <c:strCache>
                <c:ptCount val="22"/>
                <c:pt idx="0">
                  <c:v>Extruded Snacks</c:v>
                </c:pt>
                <c:pt idx="1">
                  <c:v>Extruded Snacks</c:v>
                </c:pt>
                <c:pt idx="2">
                  <c:v>Popcorn</c:v>
                </c:pt>
                <c:pt idx="3">
                  <c:v>Popcorn</c:v>
                </c:pt>
                <c:pt idx="4">
                  <c:v>Potato Crisps</c:v>
                </c:pt>
                <c:pt idx="5">
                  <c:v>Potato Crisps &amp; Corn Chips</c:v>
                </c:pt>
                <c:pt idx="6">
                  <c:v>Chicken Nuggets</c:v>
                </c:pt>
                <c:pt idx="7">
                  <c:v>Chicken Products</c:v>
                </c:pt>
                <c:pt idx="8">
                  <c:v>Deep Fried Fish Fillets</c:v>
                </c:pt>
                <c:pt idx="9">
                  <c:v>Crumbed/Battered Fish Fillets</c:v>
                </c:pt>
                <c:pt idx="10">
                  <c:v>Falafel</c:v>
                </c:pt>
                <c:pt idx="11">
                  <c:v>Falafel</c:v>
                </c:pt>
                <c:pt idx="12">
                  <c:v>Fried Noodle Dishes</c:v>
                </c:pt>
                <c:pt idx="13">
                  <c:v>Fried Noodle Dishes</c:v>
                </c:pt>
                <c:pt idx="14">
                  <c:v>Hot Chips/Potato Products</c:v>
                </c:pt>
                <c:pt idx="15">
                  <c:v>Hot Chips/Potato Products</c:v>
                </c:pt>
                <c:pt idx="16">
                  <c:v>Pizza</c:v>
                </c:pt>
                <c:pt idx="17">
                  <c:v>Pizza</c:v>
                </c:pt>
                <c:pt idx="18">
                  <c:v>Sweet &amp; Sour Pork</c:v>
                </c:pt>
                <c:pt idx="19">
                  <c:v>Restaurant Style Takeaway Dishes</c:v>
                </c:pt>
                <c:pt idx="20">
                  <c:v>Spring Rolls</c:v>
                </c:pt>
                <c:pt idx="21">
                  <c:v>Spring Rolls</c:v>
                </c:pt>
              </c:strCache>
            </c:strRef>
          </c:cat>
          <c:val>
            <c:numRef>
              <c:f>'TFA &amp; SFA Box Plots'!$R$56:$R$78</c:f>
              <c:numCache>
                <c:formatCode>General</c:formatCode>
                <c:ptCount val="22"/>
                <c:pt idx="0">
                  <c:v>8.8350000000000009</c:v>
                </c:pt>
                <c:pt idx="1">
                  <c:v>2.68</c:v>
                </c:pt>
                <c:pt idx="2">
                  <c:v>3.8014999999999999</c:v>
                </c:pt>
                <c:pt idx="3">
                  <c:v>2.6</c:v>
                </c:pt>
                <c:pt idx="4">
                  <c:v>1.9600000000000004</c:v>
                </c:pt>
                <c:pt idx="5">
                  <c:v>2.4275000000000002</c:v>
                </c:pt>
                <c:pt idx="6">
                  <c:v>1.5249999999999999</c:v>
                </c:pt>
                <c:pt idx="7">
                  <c:v>1.6</c:v>
                </c:pt>
                <c:pt idx="8">
                  <c:v>0.95</c:v>
                </c:pt>
                <c:pt idx="9">
                  <c:v>0.7</c:v>
                </c:pt>
                <c:pt idx="10">
                  <c:v>0.78</c:v>
                </c:pt>
                <c:pt idx="11">
                  <c:v>1.1080000000000001</c:v>
                </c:pt>
                <c:pt idx="12">
                  <c:v>0.4</c:v>
                </c:pt>
                <c:pt idx="13">
                  <c:v>0.56000000000000005</c:v>
                </c:pt>
                <c:pt idx="14">
                  <c:v>1.4</c:v>
                </c:pt>
                <c:pt idx="15">
                  <c:v>0.4</c:v>
                </c:pt>
                <c:pt idx="16">
                  <c:v>2.7650000000000001</c:v>
                </c:pt>
                <c:pt idx="17">
                  <c:v>2.6850000000000001</c:v>
                </c:pt>
                <c:pt idx="18">
                  <c:v>0.56499999999999995</c:v>
                </c:pt>
                <c:pt idx="19">
                  <c:v>1.234</c:v>
                </c:pt>
                <c:pt idx="20">
                  <c:v>1.2749999999999999</c:v>
                </c:pt>
                <c:pt idx="21">
                  <c:v>1.246</c:v>
                </c:pt>
              </c:numCache>
            </c:numRef>
          </c:val>
        </c:ser>
        <c:ser>
          <c:idx val="1"/>
          <c:order val="1"/>
          <c:spPr>
            <a:solidFill>
              <a:schemeClr val="accent1"/>
            </a:solidFill>
            <a:ln>
              <a:solidFill>
                <a:sysClr val="windowText" lastClr="000000"/>
              </a:solidFill>
            </a:ln>
          </c:spPr>
          <c:invertIfNegative val="0"/>
          <c:dPt>
            <c:idx val="0"/>
            <c:invertIfNegative val="0"/>
            <c:bubble3D val="0"/>
            <c:spPr>
              <a:pattFill prst="pct10">
                <a:fgClr>
                  <a:sysClr val="windowText" lastClr="000000"/>
                </a:fgClr>
                <a:bgClr>
                  <a:sysClr val="window" lastClr="FFFFFF"/>
                </a:bgClr>
              </a:pattFill>
              <a:ln>
                <a:solidFill>
                  <a:sysClr val="windowText" lastClr="000000"/>
                </a:solidFill>
              </a:ln>
            </c:spPr>
          </c:dPt>
          <c:dPt>
            <c:idx val="1"/>
            <c:invertIfNegative val="0"/>
            <c:bubble3D val="0"/>
            <c:spPr>
              <a:pattFill prst="ltDnDiag">
                <a:fgClr>
                  <a:sysClr val="windowText" lastClr="000000"/>
                </a:fgClr>
                <a:bgClr>
                  <a:sysClr val="window" lastClr="FFFFFF"/>
                </a:bgClr>
              </a:pattFill>
              <a:ln>
                <a:solidFill>
                  <a:sysClr val="windowText" lastClr="000000"/>
                </a:solidFill>
              </a:ln>
            </c:spPr>
          </c:dPt>
          <c:dPt>
            <c:idx val="2"/>
            <c:invertIfNegative val="0"/>
            <c:bubble3D val="0"/>
            <c:spPr>
              <a:pattFill prst="pct10">
                <a:fgClr>
                  <a:sysClr val="windowText" lastClr="000000"/>
                </a:fgClr>
                <a:bgClr>
                  <a:sysClr val="window" lastClr="FFFFFF"/>
                </a:bgClr>
              </a:pattFill>
              <a:ln>
                <a:solidFill>
                  <a:sysClr val="windowText" lastClr="000000"/>
                </a:solidFill>
              </a:ln>
            </c:spPr>
          </c:dPt>
          <c:dPt>
            <c:idx val="3"/>
            <c:invertIfNegative val="0"/>
            <c:bubble3D val="0"/>
            <c:spPr>
              <a:pattFill prst="ltDnDiag">
                <a:fgClr>
                  <a:sysClr val="windowText" lastClr="000000"/>
                </a:fgClr>
                <a:bgClr>
                  <a:sysClr val="window" lastClr="FFFFFF"/>
                </a:bgClr>
              </a:pattFill>
              <a:ln>
                <a:solidFill>
                  <a:sysClr val="windowText" lastClr="000000"/>
                </a:solidFill>
              </a:ln>
            </c:spPr>
          </c:dPt>
          <c:dPt>
            <c:idx val="4"/>
            <c:invertIfNegative val="0"/>
            <c:bubble3D val="0"/>
            <c:spPr>
              <a:pattFill prst="pct10">
                <a:fgClr>
                  <a:sysClr val="windowText" lastClr="000000"/>
                </a:fgClr>
                <a:bgClr>
                  <a:sysClr val="window" lastClr="FFFFFF"/>
                </a:bgClr>
              </a:pattFill>
              <a:ln>
                <a:solidFill>
                  <a:sysClr val="windowText" lastClr="000000"/>
                </a:solidFill>
              </a:ln>
            </c:spPr>
          </c:dPt>
          <c:dPt>
            <c:idx val="5"/>
            <c:invertIfNegative val="0"/>
            <c:bubble3D val="0"/>
            <c:spPr>
              <a:pattFill prst="ltDnDiag">
                <a:fgClr>
                  <a:sysClr val="windowText" lastClr="000000"/>
                </a:fgClr>
                <a:bgClr>
                  <a:sysClr val="window" lastClr="FFFFFF"/>
                </a:bgClr>
              </a:pattFill>
              <a:ln>
                <a:solidFill>
                  <a:sysClr val="windowText" lastClr="000000"/>
                </a:solidFill>
              </a:ln>
            </c:spPr>
          </c:dPt>
          <c:dPt>
            <c:idx val="6"/>
            <c:invertIfNegative val="0"/>
            <c:bubble3D val="0"/>
            <c:spPr>
              <a:pattFill prst="pct10">
                <a:fgClr>
                  <a:sysClr val="windowText" lastClr="000000"/>
                </a:fgClr>
                <a:bgClr>
                  <a:sysClr val="window" lastClr="FFFFFF"/>
                </a:bgClr>
              </a:pattFill>
              <a:ln>
                <a:solidFill>
                  <a:sysClr val="windowText" lastClr="000000"/>
                </a:solidFill>
              </a:ln>
            </c:spPr>
          </c:dPt>
          <c:dPt>
            <c:idx val="7"/>
            <c:invertIfNegative val="0"/>
            <c:bubble3D val="0"/>
            <c:spPr>
              <a:pattFill prst="ltDnDiag">
                <a:fgClr>
                  <a:sysClr val="windowText" lastClr="000000"/>
                </a:fgClr>
                <a:bgClr>
                  <a:sysClr val="window" lastClr="FFFFFF"/>
                </a:bgClr>
              </a:pattFill>
              <a:ln>
                <a:solidFill>
                  <a:sysClr val="windowText" lastClr="000000"/>
                </a:solidFill>
              </a:ln>
            </c:spPr>
          </c:dPt>
          <c:dPt>
            <c:idx val="8"/>
            <c:invertIfNegative val="0"/>
            <c:bubble3D val="0"/>
            <c:spPr>
              <a:pattFill prst="pct10">
                <a:fgClr>
                  <a:sysClr val="windowText" lastClr="000000"/>
                </a:fgClr>
                <a:bgClr>
                  <a:sysClr val="window" lastClr="FFFFFF"/>
                </a:bgClr>
              </a:pattFill>
              <a:ln>
                <a:solidFill>
                  <a:sysClr val="windowText" lastClr="000000"/>
                </a:solidFill>
              </a:ln>
            </c:spPr>
          </c:dPt>
          <c:dPt>
            <c:idx val="9"/>
            <c:invertIfNegative val="0"/>
            <c:bubble3D val="0"/>
            <c:spPr>
              <a:pattFill prst="ltDnDiag">
                <a:fgClr>
                  <a:sysClr val="windowText" lastClr="000000"/>
                </a:fgClr>
                <a:bgClr>
                  <a:sysClr val="window" lastClr="FFFFFF"/>
                </a:bgClr>
              </a:pattFill>
              <a:ln>
                <a:solidFill>
                  <a:sysClr val="windowText" lastClr="000000"/>
                </a:solidFill>
              </a:ln>
            </c:spPr>
          </c:dPt>
          <c:dPt>
            <c:idx val="10"/>
            <c:invertIfNegative val="0"/>
            <c:bubble3D val="0"/>
            <c:spPr>
              <a:pattFill prst="pct10">
                <a:fgClr>
                  <a:sysClr val="windowText" lastClr="000000"/>
                </a:fgClr>
                <a:bgClr>
                  <a:sysClr val="window" lastClr="FFFFFF"/>
                </a:bgClr>
              </a:pattFill>
              <a:ln>
                <a:solidFill>
                  <a:sysClr val="windowText" lastClr="000000"/>
                </a:solidFill>
              </a:ln>
            </c:spPr>
          </c:dPt>
          <c:dPt>
            <c:idx val="11"/>
            <c:invertIfNegative val="0"/>
            <c:bubble3D val="0"/>
            <c:spPr>
              <a:pattFill prst="ltDnDiag">
                <a:fgClr>
                  <a:sysClr val="windowText" lastClr="000000"/>
                </a:fgClr>
                <a:bgClr>
                  <a:sysClr val="window" lastClr="FFFFFF"/>
                </a:bgClr>
              </a:pattFill>
              <a:ln>
                <a:solidFill>
                  <a:sysClr val="windowText" lastClr="000000"/>
                </a:solidFill>
              </a:ln>
            </c:spPr>
          </c:dPt>
          <c:dPt>
            <c:idx val="12"/>
            <c:invertIfNegative val="0"/>
            <c:bubble3D val="0"/>
            <c:spPr>
              <a:pattFill prst="pct10">
                <a:fgClr>
                  <a:sysClr val="windowText" lastClr="000000"/>
                </a:fgClr>
                <a:bgClr>
                  <a:sysClr val="window" lastClr="FFFFFF"/>
                </a:bgClr>
              </a:pattFill>
              <a:ln>
                <a:solidFill>
                  <a:sysClr val="windowText" lastClr="000000"/>
                </a:solidFill>
              </a:ln>
            </c:spPr>
          </c:dPt>
          <c:dPt>
            <c:idx val="13"/>
            <c:invertIfNegative val="0"/>
            <c:bubble3D val="0"/>
            <c:spPr>
              <a:pattFill prst="ltDnDiag">
                <a:fgClr>
                  <a:sysClr val="windowText" lastClr="000000"/>
                </a:fgClr>
                <a:bgClr>
                  <a:sysClr val="window" lastClr="FFFFFF"/>
                </a:bgClr>
              </a:pattFill>
              <a:ln>
                <a:solidFill>
                  <a:sysClr val="windowText" lastClr="000000"/>
                </a:solidFill>
              </a:ln>
            </c:spPr>
          </c:dPt>
          <c:dPt>
            <c:idx val="14"/>
            <c:invertIfNegative val="0"/>
            <c:bubble3D val="0"/>
            <c:spPr>
              <a:pattFill prst="pct10">
                <a:fgClr>
                  <a:sysClr val="windowText" lastClr="000000"/>
                </a:fgClr>
                <a:bgClr>
                  <a:sysClr val="window" lastClr="FFFFFF"/>
                </a:bgClr>
              </a:pattFill>
              <a:ln>
                <a:solidFill>
                  <a:sysClr val="windowText" lastClr="000000"/>
                </a:solidFill>
              </a:ln>
            </c:spPr>
          </c:dPt>
          <c:dPt>
            <c:idx val="15"/>
            <c:invertIfNegative val="0"/>
            <c:bubble3D val="0"/>
            <c:spPr>
              <a:pattFill prst="ltDnDiag">
                <a:fgClr>
                  <a:sysClr val="windowText" lastClr="000000"/>
                </a:fgClr>
                <a:bgClr>
                  <a:sysClr val="window" lastClr="FFFFFF"/>
                </a:bgClr>
              </a:pattFill>
              <a:ln>
                <a:solidFill>
                  <a:sysClr val="windowText" lastClr="000000"/>
                </a:solidFill>
              </a:ln>
            </c:spPr>
          </c:dPt>
          <c:dPt>
            <c:idx val="16"/>
            <c:invertIfNegative val="0"/>
            <c:bubble3D val="0"/>
            <c:spPr>
              <a:pattFill prst="pct10">
                <a:fgClr>
                  <a:sysClr val="windowText" lastClr="000000"/>
                </a:fgClr>
                <a:bgClr>
                  <a:sysClr val="window" lastClr="FFFFFF"/>
                </a:bgClr>
              </a:pattFill>
              <a:ln>
                <a:solidFill>
                  <a:sysClr val="windowText" lastClr="000000"/>
                </a:solidFill>
              </a:ln>
            </c:spPr>
          </c:dPt>
          <c:dPt>
            <c:idx val="17"/>
            <c:invertIfNegative val="0"/>
            <c:bubble3D val="0"/>
            <c:spPr>
              <a:pattFill prst="ltDnDiag">
                <a:fgClr>
                  <a:sysClr val="windowText" lastClr="000000"/>
                </a:fgClr>
                <a:bgClr>
                  <a:sysClr val="window" lastClr="FFFFFF"/>
                </a:bgClr>
              </a:pattFill>
              <a:ln>
                <a:solidFill>
                  <a:sysClr val="windowText" lastClr="000000"/>
                </a:solidFill>
              </a:ln>
            </c:spPr>
          </c:dPt>
          <c:dPt>
            <c:idx val="18"/>
            <c:invertIfNegative val="0"/>
            <c:bubble3D val="0"/>
            <c:spPr>
              <a:pattFill prst="pct10">
                <a:fgClr>
                  <a:sysClr val="windowText" lastClr="000000"/>
                </a:fgClr>
                <a:bgClr>
                  <a:sysClr val="window" lastClr="FFFFFF"/>
                </a:bgClr>
              </a:pattFill>
              <a:ln>
                <a:solidFill>
                  <a:sysClr val="windowText" lastClr="000000"/>
                </a:solidFill>
              </a:ln>
            </c:spPr>
          </c:dPt>
          <c:dPt>
            <c:idx val="19"/>
            <c:invertIfNegative val="0"/>
            <c:bubble3D val="0"/>
            <c:spPr>
              <a:pattFill prst="ltDnDiag">
                <a:fgClr>
                  <a:sysClr val="windowText" lastClr="000000"/>
                </a:fgClr>
                <a:bgClr>
                  <a:sysClr val="window" lastClr="FFFFFF"/>
                </a:bgClr>
              </a:pattFill>
              <a:ln>
                <a:solidFill>
                  <a:sysClr val="windowText" lastClr="000000"/>
                </a:solidFill>
              </a:ln>
            </c:spPr>
          </c:dPt>
          <c:dPt>
            <c:idx val="20"/>
            <c:invertIfNegative val="0"/>
            <c:bubble3D val="0"/>
            <c:spPr>
              <a:pattFill prst="pct10">
                <a:fgClr>
                  <a:sysClr val="windowText" lastClr="000000"/>
                </a:fgClr>
                <a:bgClr>
                  <a:sysClr val="window" lastClr="FFFFFF"/>
                </a:bgClr>
              </a:pattFill>
              <a:ln>
                <a:solidFill>
                  <a:sysClr val="windowText" lastClr="000000"/>
                </a:solidFill>
              </a:ln>
            </c:spPr>
          </c:dPt>
          <c:dPt>
            <c:idx val="21"/>
            <c:invertIfNegative val="0"/>
            <c:bubble3D val="0"/>
            <c:spPr>
              <a:pattFill prst="ltDnDiag">
                <a:fgClr>
                  <a:sysClr val="windowText" lastClr="000000"/>
                </a:fgClr>
                <a:bgClr>
                  <a:sysClr val="window" lastClr="FFFFFF"/>
                </a:bgClr>
              </a:pattFill>
              <a:ln>
                <a:solidFill>
                  <a:sysClr val="windowText" lastClr="000000"/>
                </a:solidFill>
              </a:ln>
            </c:spPr>
          </c:dPt>
          <c:cat>
            <c:strRef>
              <c:f>'TFA &amp; SFA Box Plots'!$C$56:$C$78</c:f>
              <c:strCache>
                <c:ptCount val="22"/>
                <c:pt idx="0">
                  <c:v>Extruded Snacks</c:v>
                </c:pt>
                <c:pt idx="1">
                  <c:v>Extruded Snacks</c:v>
                </c:pt>
                <c:pt idx="2">
                  <c:v>Popcorn</c:v>
                </c:pt>
                <c:pt idx="3">
                  <c:v>Popcorn</c:v>
                </c:pt>
                <c:pt idx="4">
                  <c:v>Potato Crisps</c:v>
                </c:pt>
                <c:pt idx="5">
                  <c:v>Potato Crisps &amp; Corn Chips</c:v>
                </c:pt>
                <c:pt idx="6">
                  <c:v>Chicken Nuggets</c:v>
                </c:pt>
                <c:pt idx="7">
                  <c:v>Chicken Products</c:v>
                </c:pt>
                <c:pt idx="8">
                  <c:v>Deep Fried Fish Fillets</c:v>
                </c:pt>
                <c:pt idx="9">
                  <c:v>Crumbed/Battered Fish Fillets</c:v>
                </c:pt>
                <c:pt idx="10">
                  <c:v>Falafel</c:v>
                </c:pt>
                <c:pt idx="11">
                  <c:v>Falafel</c:v>
                </c:pt>
                <c:pt idx="12">
                  <c:v>Fried Noodle Dishes</c:v>
                </c:pt>
                <c:pt idx="13">
                  <c:v>Fried Noodle Dishes</c:v>
                </c:pt>
                <c:pt idx="14">
                  <c:v>Hot Chips/Potato Products</c:v>
                </c:pt>
                <c:pt idx="15">
                  <c:v>Hot Chips/Potato Products</c:v>
                </c:pt>
                <c:pt idx="16">
                  <c:v>Pizza</c:v>
                </c:pt>
                <c:pt idx="17">
                  <c:v>Pizza</c:v>
                </c:pt>
                <c:pt idx="18">
                  <c:v>Sweet &amp; Sour Pork</c:v>
                </c:pt>
                <c:pt idx="19">
                  <c:v>Restaurant Style Takeaway Dishes</c:v>
                </c:pt>
                <c:pt idx="20">
                  <c:v>Spring Rolls</c:v>
                </c:pt>
                <c:pt idx="21">
                  <c:v>Spring Rolls</c:v>
                </c:pt>
              </c:strCache>
            </c:strRef>
          </c:cat>
          <c:val>
            <c:numRef>
              <c:f>'TFA &amp; SFA Box Plots'!$S$56:$S$78</c:f>
              <c:numCache>
                <c:formatCode>General</c:formatCode>
                <c:ptCount val="22"/>
                <c:pt idx="0">
                  <c:v>2.5649999999999995</c:v>
                </c:pt>
                <c:pt idx="1">
                  <c:v>6.58</c:v>
                </c:pt>
                <c:pt idx="2">
                  <c:v>12.868500000000001</c:v>
                </c:pt>
                <c:pt idx="3">
                  <c:v>8.5</c:v>
                </c:pt>
                <c:pt idx="4">
                  <c:v>8.5399999999999991</c:v>
                </c:pt>
                <c:pt idx="5">
                  <c:v>7.5224999999999991</c:v>
                </c:pt>
                <c:pt idx="6">
                  <c:v>3.5250000000000008</c:v>
                </c:pt>
                <c:pt idx="7">
                  <c:v>2.1999999999999997</c:v>
                </c:pt>
                <c:pt idx="8">
                  <c:v>2.5</c:v>
                </c:pt>
                <c:pt idx="9">
                  <c:v>1.3299999999999998</c:v>
                </c:pt>
                <c:pt idx="10">
                  <c:v>1.6199999999999999</c:v>
                </c:pt>
                <c:pt idx="11">
                  <c:v>0.69199999999999995</c:v>
                </c:pt>
                <c:pt idx="12">
                  <c:v>0.56999999999999995</c:v>
                </c:pt>
                <c:pt idx="13">
                  <c:v>0.43999999999999995</c:v>
                </c:pt>
                <c:pt idx="14">
                  <c:v>1.8000000000000003</c:v>
                </c:pt>
                <c:pt idx="15">
                  <c:v>0.6</c:v>
                </c:pt>
                <c:pt idx="16">
                  <c:v>1.0349999999999997</c:v>
                </c:pt>
                <c:pt idx="17">
                  <c:v>0.80500000000000016</c:v>
                </c:pt>
                <c:pt idx="18">
                  <c:v>2.585</c:v>
                </c:pt>
                <c:pt idx="19">
                  <c:v>1.9660000000000002</c:v>
                </c:pt>
                <c:pt idx="20">
                  <c:v>1.875</c:v>
                </c:pt>
                <c:pt idx="21">
                  <c:v>1.0539999999999998</c:v>
                </c:pt>
              </c:numCache>
            </c:numRef>
          </c:val>
        </c:ser>
        <c:ser>
          <c:idx val="2"/>
          <c:order val="2"/>
          <c:spPr>
            <a:solidFill>
              <a:schemeClr val="accent1"/>
            </a:solidFill>
            <a:ln>
              <a:solidFill>
                <a:sysClr val="windowText" lastClr="000000"/>
              </a:solidFill>
            </a:ln>
          </c:spPr>
          <c:invertIfNegative val="0"/>
          <c:dPt>
            <c:idx val="0"/>
            <c:invertIfNegative val="0"/>
            <c:bubble3D val="0"/>
            <c:spPr>
              <a:pattFill prst="pct10">
                <a:fgClr>
                  <a:sysClr val="windowText" lastClr="000000"/>
                </a:fgClr>
                <a:bgClr>
                  <a:sysClr val="window" lastClr="FFFFFF"/>
                </a:bgClr>
              </a:pattFill>
              <a:ln>
                <a:solidFill>
                  <a:sysClr val="windowText" lastClr="000000"/>
                </a:solidFill>
              </a:ln>
            </c:spPr>
          </c:dPt>
          <c:dPt>
            <c:idx val="1"/>
            <c:invertIfNegative val="0"/>
            <c:bubble3D val="0"/>
            <c:spPr>
              <a:pattFill prst="ltDnDiag">
                <a:fgClr>
                  <a:sysClr val="windowText" lastClr="000000"/>
                </a:fgClr>
                <a:bgClr>
                  <a:sysClr val="window" lastClr="FFFFFF"/>
                </a:bgClr>
              </a:pattFill>
              <a:ln>
                <a:solidFill>
                  <a:sysClr val="windowText" lastClr="000000"/>
                </a:solidFill>
              </a:ln>
            </c:spPr>
          </c:dPt>
          <c:dPt>
            <c:idx val="2"/>
            <c:invertIfNegative val="0"/>
            <c:bubble3D val="0"/>
            <c:spPr>
              <a:pattFill prst="pct10">
                <a:fgClr>
                  <a:sysClr val="windowText" lastClr="000000"/>
                </a:fgClr>
                <a:bgClr>
                  <a:sysClr val="window" lastClr="FFFFFF"/>
                </a:bgClr>
              </a:pattFill>
              <a:ln>
                <a:solidFill>
                  <a:sysClr val="windowText" lastClr="000000"/>
                </a:solidFill>
              </a:ln>
            </c:spPr>
          </c:dPt>
          <c:dPt>
            <c:idx val="3"/>
            <c:invertIfNegative val="0"/>
            <c:bubble3D val="0"/>
            <c:spPr>
              <a:pattFill prst="ltDnDiag">
                <a:fgClr>
                  <a:sysClr val="windowText" lastClr="000000"/>
                </a:fgClr>
                <a:bgClr>
                  <a:sysClr val="window" lastClr="FFFFFF"/>
                </a:bgClr>
              </a:pattFill>
              <a:ln>
                <a:solidFill>
                  <a:sysClr val="windowText" lastClr="000000"/>
                </a:solidFill>
              </a:ln>
            </c:spPr>
          </c:dPt>
          <c:dPt>
            <c:idx val="4"/>
            <c:invertIfNegative val="0"/>
            <c:bubble3D val="0"/>
            <c:spPr>
              <a:pattFill prst="pct10">
                <a:fgClr>
                  <a:sysClr val="windowText" lastClr="000000"/>
                </a:fgClr>
                <a:bgClr>
                  <a:sysClr val="window" lastClr="FFFFFF"/>
                </a:bgClr>
              </a:pattFill>
              <a:ln>
                <a:solidFill>
                  <a:sysClr val="windowText" lastClr="000000"/>
                </a:solidFill>
              </a:ln>
            </c:spPr>
          </c:dPt>
          <c:dPt>
            <c:idx val="5"/>
            <c:invertIfNegative val="0"/>
            <c:bubble3D val="0"/>
            <c:spPr>
              <a:pattFill prst="ltDnDiag">
                <a:fgClr>
                  <a:sysClr val="windowText" lastClr="000000"/>
                </a:fgClr>
                <a:bgClr>
                  <a:sysClr val="window" lastClr="FFFFFF"/>
                </a:bgClr>
              </a:pattFill>
              <a:ln>
                <a:solidFill>
                  <a:sysClr val="windowText" lastClr="000000"/>
                </a:solidFill>
              </a:ln>
            </c:spPr>
          </c:dPt>
          <c:dPt>
            <c:idx val="6"/>
            <c:invertIfNegative val="0"/>
            <c:bubble3D val="0"/>
            <c:spPr>
              <a:pattFill prst="pct10">
                <a:fgClr>
                  <a:sysClr val="windowText" lastClr="000000"/>
                </a:fgClr>
                <a:bgClr>
                  <a:sysClr val="window" lastClr="FFFFFF"/>
                </a:bgClr>
              </a:pattFill>
              <a:ln>
                <a:solidFill>
                  <a:sysClr val="windowText" lastClr="000000"/>
                </a:solidFill>
              </a:ln>
            </c:spPr>
          </c:dPt>
          <c:dPt>
            <c:idx val="7"/>
            <c:invertIfNegative val="0"/>
            <c:bubble3D val="0"/>
            <c:spPr>
              <a:pattFill prst="ltDnDiag">
                <a:fgClr>
                  <a:sysClr val="windowText" lastClr="000000"/>
                </a:fgClr>
                <a:bgClr>
                  <a:sysClr val="window" lastClr="FFFFFF"/>
                </a:bgClr>
              </a:pattFill>
              <a:ln>
                <a:solidFill>
                  <a:sysClr val="windowText" lastClr="000000"/>
                </a:solidFill>
              </a:ln>
            </c:spPr>
          </c:dPt>
          <c:dPt>
            <c:idx val="8"/>
            <c:invertIfNegative val="0"/>
            <c:bubble3D val="0"/>
            <c:spPr>
              <a:pattFill prst="pct10">
                <a:fgClr>
                  <a:sysClr val="windowText" lastClr="000000"/>
                </a:fgClr>
                <a:bgClr>
                  <a:sysClr val="window" lastClr="FFFFFF"/>
                </a:bgClr>
              </a:pattFill>
              <a:ln>
                <a:solidFill>
                  <a:sysClr val="windowText" lastClr="000000"/>
                </a:solidFill>
              </a:ln>
            </c:spPr>
          </c:dPt>
          <c:dPt>
            <c:idx val="9"/>
            <c:invertIfNegative val="0"/>
            <c:bubble3D val="0"/>
            <c:spPr>
              <a:pattFill prst="ltDnDiag">
                <a:fgClr>
                  <a:sysClr val="windowText" lastClr="000000"/>
                </a:fgClr>
                <a:bgClr>
                  <a:sysClr val="window" lastClr="FFFFFF"/>
                </a:bgClr>
              </a:pattFill>
              <a:ln>
                <a:solidFill>
                  <a:sysClr val="windowText" lastClr="000000"/>
                </a:solidFill>
              </a:ln>
            </c:spPr>
          </c:dPt>
          <c:dPt>
            <c:idx val="10"/>
            <c:invertIfNegative val="0"/>
            <c:bubble3D val="0"/>
            <c:spPr>
              <a:pattFill prst="pct10">
                <a:fgClr>
                  <a:sysClr val="windowText" lastClr="000000"/>
                </a:fgClr>
                <a:bgClr>
                  <a:sysClr val="window" lastClr="FFFFFF"/>
                </a:bgClr>
              </a:pattFill>
              <a:ln>
                <a:solidFill>
                  <a:sysClr val="windowText" lastClr="000000"/>
                </a:solidFill>
              </a:ln>
            </c:spPr>
          </c:dPt>
          <c:dPt>
            <c:idx val="11"/>
            <c:invertIfNegative val="0"/>
            <c:bubble3D val="0"/>
            <c:spPr>
              <a:pattFill prst="ltDnDiag">
                <a:fgClr>
                  <a:sysClr val="windowText" lastClr="000000"/>
                </a:fgClr>
                <a:bgClr>
                  <a:sysClr val="window" lastClr="FFFFFF"/>
                </a:bgClr>
              </a:pattFill>
              <a:ln>
                <a:solidFill>
                  <a:sysClr val="windowText" lastClr="000000"/>
                </a:solidFill>
              </a:ln>
            </c:spPr>
          </c:dPt>
          <c:dPt>
            <c:idx val="12"/>
            <c:invertIfNegative val="0"/>
            <c:bubble3D val="0"/>
            <c:spPr>
              <a:pattFill prst="pct10">
                <a:fgClr>
                  <a:sysClr val="windowText" lastClr="000000"/>
                </a:fgClr>
                <a:bgClr>
                  <a:sysClr val="window" lastClr="FFFFFF"/>
                </a:bgClr>
              </a:pattFill>
              <a:ln>
                <a:solidFill>
                  <a:sysClr val="windowText" lastClr="000000"/>
                </a:solidFill>
              </a:ln>
            </c:spPr>
          </c:dPt>
          <c:dPt>
            <c:idx val="13"/>
            <c:invertIfNegative val="0"/>
            <c:bubble3D val="0"/>
            <c:spPr>
              <a:pattFill prst="ltDnDiag">
                <a:fgClr>
                  <a:sysClr val="windowText" lastClr="000000"/>
                </a:fgClr>
                <a:bgClr>
                  <a:sysClr val="window" lastClr="FFFFFF"/>
                </a:bgClr>
              </a:pattFill>
              <a:ln>
                <a:solidFill>
                  <a:sysClr val="windowText" lastClr="000000"/>
                </a:solidFill>
              </a:ln>
            </c:spPr>
          </c:dPt>
          <c:dPt>
            <c:idx val="14"/>
            <c:invertIfNegative val="0"/>
            <c:bubble3D val="0"/>
            <c:spPr>
              <a:pattFill prst="pct10">
                <a:fgClr>
                  <a:sysClr val="windowText" lastClr="000000"/>
                </a:fgClr>
                <a:bgClr>
                  <a:sysClr val="window" lastClr="FFFFFF"/>
                </a:bgClr>
              </a:pattFill>
              <a:ln>
                <a:solidFill>
                  <a:sysClr val="windowText" lastClr="000000"/>
                </a:solidFill>
              </a:ln>
            </c:spPr>
          </c:dPt>
          <c:dPt>
            <c:idx val="15"/>
            <c:invertIfNegative val="0"/>
            <c:bubble3D val="0"/>
            <c:spPr>
              <a:pattFill prst="ltDnDiag">
                <a:fgClr>
                  <a:sysClr val="windowText" lastClr="000000"/>
                </a:fgClr>
                <a:bgClr>
                  <a:sysClr val="window" lastClr="FFFFFF"/>
                </a:bgClr>
              </a:pattFill>
              <a:ln>
                <a:solidFill>
                  <a:sysClr val="windowText" lastClr="000000"/>
                </a:solidFill>
              </a:ln>
            </c:spPr>
          </c:dPt>
          <c:dPt>
            <c:idx val="16"/>
            <c:invertIfNegative val="0"/>
            <c:bubble3D val="0"/>
            <c:spPr>
              <a:pattFill prst="pct10">
                <a:fgClr>
                  <a:sysClr val="windowText" lastClr="000000"/>
                </a:fgClr>
                <a:bgClr>
                  <a:sysClr val="window" lastClr="FFFFFF"/>
                </a:bgClr>
              </a:pattFill>
              <a:ln>
                <a:solidFill>
                  <a:sysClr val="windowText" lastClr="000000"/>
                </a:solidFill>
              </a:ln>
            </c:spPr>
          </c:dPt>
          <c:dPt>
            <c:idx val="17"/>
            <c:invertIfNegative val="0"/>
            <c:bubble3D val="0"/>
            <c:spPr>
              <a:pattFill prst="ltDnDiag">
                <a:fgClr>
                  <a:sysClr val="windowText" lastClr="000000"/>
                </a:fgClr>
                <a:bgClr>
                  <a:sysClr val="window" lastClr="FFFFFF"/>
                </a:bgClr>
              </a:pattFill>
              <a:ln>
                <a:solidFill>
                  <a:sysClr val="windowText" lastClr="000000"/>
                </a:solidFill>
              </a:ln>
            </c:spPr>
          </c:dPt>
          <c:dPt>
            <c:idx val="18"/>
            <c:invertIfNegative val="0"/>
            <c:bubble3D val="0"/>
            <c:spPr>
              <a:pattFill prst="pct10">
                <a:fgClr>
                  <a:sysClr val="windowText" lastClr="000000"/>
                </a:fgClr>
                <a:bgClr>
                  <a:sysClr val="window" lastClr="FFFFFF"/>
                </a:bgClr>
              </a:pattFill>
              <a:ln>
                <a:solidFill>
                  <a:sysClr val="windowText" lastClr="000000"/>
                </a:solidFill>
              </a:ln>
            </c:spPr>
          </c:dPt>
          <c:dPt>
            <c:idx val="19"/>
            <c:invertIfNegative val="0"/>
            <c:bubble3D val="0"/>
            <c:spPr>
              <a:pattFill prst="ltDnDiag">
                <a:fgClr>
                  <a:sysClr val="windowText" lastClr="000000"/>
                </a:fgClr>
                <a:bgClr>
                  <a:sysClr val="window" lastClr="FFFFFF"/>
                </a:bgClr>
              </a:pattFill>
              <a:ln>
                <a:solidFill>
                  <a:sysClr val="windowText" lastClr="000000"/>
                </a:solidFill>
              </a:ln>
            </c:spPr>
          </c:dPt>
          <c:dPt>
            <c:idx val="20"/>
            <c:invertIfNegative val="0"/>
            <c:bubble3D val="0"/>
            <c:spPr>
              <a:pattFill prst="pct10">
                <a:fgClr>
                  <a:sysClr val="windowText" lastClr="000000"/>
                </a:fgClr>
                <a:bgClr>
                  <a:sysClr val="window" lastClr="FFFFFF"/>
                </a:bgClr>
              </a:pattFill>
              <a:ln>
                <a:solidFill>
                  <a:sysClr val="windowText" lastClr="000000"/>
                </a:solidFill>
              </a:ln>
            </c:spPr>
          </c:dPt>
          <c:dPt>
            <c:idx val="21"/>
            <c:invertIfNegative val="0"/>
            <c:bubble3D val="0"/>
            <c:spPr>
              <a:pattFill prst="ltDnDiag">
                <a:fgClr>
                  <a:sysClr val="windowText" lastClr="000000"/>
                </a:fgClr>
                <a:bgClr>
                  <a:sysClr val="window" lastClr="FFFFFF"/>
                </a:bgClr>
              </a:pattFill>
              <a:ln>
                <a:solidFill>
                  <a:sysClr val="windowText" lastClr="000000"/>
                </a:solidFill>
              </a:ln>
            </c:spPr>
          </c:dPt>
          <c:errBars>
            <c:errBarType val="plus"/>
            <c:errValType val="cust"/>
            <c:noEndCap val="0"/>
            <c:plus>
              <c:numRef>
                <c:f>'TFA &amp; SFA Box Plots'!$V$56:$V$78</c:f>
                <c:numCache>
                  <c:formatCode>General</c:formatCode>
                  <c:ptCount val="22"/>
                  <c:pt idx="0">
                    <c:v>7.4999999999999289E-2</c:v>
                  </c:pt>
                  <c:pt idx="1">
                    <c:v>3.9000000000000092</c:v>
                  </c:pt>
                  <c:pt idx="2">
                    <c:v>1.0350000000000037</c:v>
                  </c:pt>
                  <c:pt idx="3">
                    <c:v>2.25</c:v>
                  </c:pt>
                  <c:pt idx="4">
                    <c:v>0.98000000000000043</c:v>
                  </c:pt>
                  <c:pt idx="5">
                    <c:v>5.2500000000000213E-2</c:v>
                  </c:pt>
                  <c:pt idx="6">
                    <c:v>2.5750000000000002</c:v>
                  </c:pt>
                  <c:pt idx="7">
                    <c:v>0.5</c:v>
                  </c:pt>
                  <c:pt idx="8">
                    <c:v>1.125</c:v>
                  </c:pt>
                  <c:pt idx="9">
                    <c:v>4.2999999999999989</c:v>
                  </c:pt>
                  <c:pt idx="10">
                    <c:v>4.0000000000000036E-2</c:v>
                  </c:pt>
                  <c:pt idx="11">
                    <c:v>0.45600000000000041</c:v>
                  </c:pt>
                  <c:pt idx="12">
                    <c:v>1.1400000000000028</c:v>
                  </c:pt>
                  <c:pt idx="13">
                    <c:v>0.28000000000000025</c:v>
                  </c:pt>
                  <c:pt idx="14">
                    <c:v>1.75</c:v>
                  </c:pt>
                  <c:pt idx="15">
                    <c:v>3.990000000000002</c:v>
                  </c:pt>
                  <c:pt idx="16">
                    <c:v>0</c:v>
                  </c:pt>
                  <c:pt idx="17">
                    <c:v>0.19000000000000039</c:v>
                  </c:pt>
                  <c:pt idx="18">
                    <c:v>0</c:v>
                  </c:pt>
                  <c:pt idx="19">
                    <c:v>2.6560000000000024</c:v>
                  </c:pt>
                  <c:pt idx="20">
                    <c:v>0.15000000000000036</c:v>
                  </c:pt>
                  <c:pt idx="21">
                    <c:v>0.4480000000000004</c:v>
                  </c:pt>
                </c:numCache>
              </c:numRef>
            </c:plus>
            <c:minus>
              <c:numLit>
                <c:formatCode>General</c:formatCode>
                <c:ptCount val="1"/>
                <c:pt idx="0">
                  <c:v>1</c:v>
                </c:pt>
              </c:numLit>
            </c:minus>
          </c:errBars>
          <c:cat>
            <c:strRef>
              <c:f>'TFA &amp; SFA Box Plots'!$C$56:$C$78</c:f>
              <c:strCache>
                <c:ptCount val="22"/>
                <c:pt idx="0">
                  <c:v>Extruded Snacks</c:v>
                </c:pt>
                <c:pt idx="1">
                  <c:v>Extruded Snacks</c:v>
                </c:pt>
                <c:pt idx="2">
                  <c:v>Popcorn</c:v>
                </c:pt>
                <c:pt idx="3">
                  <c:v>Popcorn</c:v>
                </c:pt>
                <c:pt idx="4">
                  <c:v>Potato Crisps</c:v>
                </c:pt>
                <c:pt idx="5">
                  <c:v>Potato Crisps &amp; Corn Chips</c:v>
                </c:pt>
                <c:pt idx="6">
                  <c:v>Chicken Nuggets</c:v>
                </c:pt>
                <c:pt idx="7">
                  <c:v>Chicken Products</c:v>
                </c:pt>
                <c:pt idx="8">
                  <c:v>Deep Fried Fish Fillets</c:v>
                </c:pt>
                <c:pt idx="9">
                  <c:v>Crumbed/Battered Fish Fillets</c:v>
                </c:pt>
                <c:pt idx="10">
                  <c:v>Falafel</c:v>
                </c:pt>
                <c:pt idx="11">
                  <c:v>Falafel</c:v>
                </c:pt>
                <c:pt idx="12">
                  <c:v>Fried Noodle Dishes</c:v>
                </c:pt>
                <c:pt idx="13">
                  <c:v>Fried Noodle Dishes</c:v>
                </c:pt>
                <c:pt idx="14">
                  <c:v>Hot Chips/Potato Products</c:v>
                </c:pt>
                <c:pt idx="15">
                  <c:v>Hot Chips/Potato Products</c:v>
                </c:pt>
                <c:pt idx="16">
                  <c:v>Pizza</c:v>
                </c:pt>
                <c:pt idx="17">
                  <c:v>Pizza</c:v>
                </c:pt>
                <c:pt idx="18">
                  <c:v>Sweet &amp; Sour Pork</c:v>
                </c:pt>
                <c:pt idx="19">
                  <c:v>Restaurant Style Takeaway Dishes</c:v>
                </c:pt>
                <c:pt idx="20">
                  <c:v>Spring Rolls</c:v>
                </c:pt>
                <c:pt idx="21">
                  <c:v>Spring Rolls</c:v>
                </c:pt>
              </c:strCache>
            </c:strRef>
          </c:cat>
          <c:val>
            <c:numRef>
              <c:f>'TFA &amp; SFA Box Plots'!$T$56:$T$78</c:f>
              <c:numCache>
                <c:formatCode>General</c:formatCode>
                <c:ptCount val="22"/>
                <c:pt idx="0">
                  <c:v>0.52500000000000036</c:v>
                </c:pt>
                <c:pt idx="1">
                  <c:v>9.5399999999999903</c:v>
                </c:pt>
                <c:pt idx="2">
                  <c:v>8.9949999999999939</c:v>
                </c:pt>
                <c:pt idx="3">
                  <c:v>7.4500000000000011</c:v>
                </c:pt>
                <c:pt idx="4">
                  <c:v>6.2199999999999989</c:v>
                </c:pt>
                <c:pt idx="5">
                  <c:v>5.0675000000000008</c:v>
                </c:pt>
                <c:pt idx="6">
                  <c:v>2.8749999999999991</c:v>
                </c:pt>
                <c:pt idx="7">
                  <c:v>2.8</c:v>
                </c:pt>
                <c:pt idx="8">
                  <c:v>5.5249999999999995</c:v>
                </c:pt>
                <c:pt idx="9">
                  <c:v>7.370000000000001</c:v>
                </c:pt>
                <c:pt idx="10">
                  <c:v>0.26000000000000023</c:v>
                </c:pt>
                <c:pt idx="11">
                  <c:v>2.3439999999999994</c:v>
                </c:pt>
                <c:pt idx="12">
                  <c:v>1.6899999999999971</c:v>
                </c:pt>
                <c:pt idx="13">
                  <c:v>0.81999999999999984</c:v>
                </c:pt>
                <c:pt idx="14">
                  <c:v>5.3500000000000005</c:v>
                </c:pt>
                <c:pt idx="15">
                  <c:v>4.259999999999998</c:v>
                </c:pt>
                <c:pt idx="16">
                  <c:v>0.90000000000000036</c:v>
                </c:pt>
                <c:pt idx="17">
                  <c:v>2.8199999999999994</c:v>
                </c:pt>
                <c:pt idx="18">
                  <c:v>2.2500000000000004</c:v>
                </c:pt>
                <c:pt idx="19">
                  <c:v>3.9439999999999982</c:v>
                </c:pt>
                <c:pt idx="20">
                  <c:v>2.6999999999999997</c:v>
                </c:pt>
                <c:pt idx="21">
                  <c:v>3.0519999999999996</c:v>
                </c:pt>
              </c:numCache>
            </c:numRef>
          </c:val>
        </c:ser>
        <c:dLbls>
          <c:showLegendKey val="0"/>
          <c:showVal val="0"/>
          <c:showCatName val="0"/>
          <c:showSerName val="0"/>
          <c:showPercent val="0"/>
          <c:showBubbleSize val="0"/>
        </c:dLbls>
        <c:gapWidth val="15"/>
        <c:overlap val="100"/>
        <c:axId val="145608704"/>
        <c:axId val="145610240"/>
      </c:barChart>
      <c:catAx>
        <c:axId val="145608704"/>
        <c:scaling>
          <c:orientation val="minMax"/>
        </c:scaling>
        <c:delete val="1"/>
        <c:axPos val="b"/>
        <c:majorTickMark val="out"/>
        <c:minorTickMark val="none"/>
        <c:tickLblPos val="nextTo"/>
        <c:crossAx val="145610240"/>
        <c:crosses val="autoZero"/>
        <c:auto val="1"/>
        <c:lblAlgn val="ctr"/>
        <c:lblOffset val="100"/>
        <c:noMultiLvlLbl val="0"/>
      </c:catAx>
      <c:valAx>
        <c:axId val="145610240"/>
        <c:scaling>
          <c:orientation val="minMax"/>
        </c:scaling>
        <c:delete val="0"/>
        <c:axPos val="l"/>
        <c:title>
          <c:tx>
            <c:rich>
              <a:bodyPr rot="-5400000" vert="horz"/>
              <a:lstStyle/>
              <a:p>
                <a:pPr>
                  <a:defRPr sz="1200"/>
                </a:pPr>
                <a:r>
                  <a:rPr lang="en-GB" sz="1200"/>
                  <a:t>(g / 100 g)</a:t>
                </a:r>
              </a:p>
            </c:rich>
          </c:tx>
          <c:layout/>
          <c:overlay val="0"/>
        </c:title>
        <c:numFmt formatCode="General" sourceLinked="1"/>
        <c:majorTickMark val="out"/>
        <c:minorTickMark val="none"/>
        <c:tickLblPos val="nextTo"/>
        <c:crossAx val="145608704"/>
        <c:crosses val="autoZero"/>
        <c:crossBetween val="between"/>
      </c:valAx>
    </c:plotArea>
    <c:plotVisOnly val="1"/>
    <c:dispBlanksAs val="gap"/>
    <c:showDLblsOverMax val="0"/>
  </c:chart>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1"/>
    </mc:Choice>
    <mc:Fallback>
      <c:style val="1"/>
    </mc:Fallback>
  </mc:AlternateContent>
  <c:pivotSource>
    <c:name>[Spreadsheets.xlsx]Sheet1!PivotTable1</c:name>
    <c:fmtId val="-1"/>
  </c:pivotSource>
  <c:chart>
    <c:autoTitleDeleted val="1"/>
    <c:pivotFmts>
      <c:pivotFmt>
        <c:idx val="0"/>
        <c:marker>
          <c:symbol val="none"/>
        </c:marker>
      </c:pivotFmt>
      <c:pivotFmt>
        <c:idx val="1"/>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s>
    <c:plotArea>
      <c:layout/>
      <c:barChart>
        <c:barDir val="col"/>
        <c:grouping val="clustered"/>
        <c:varyColors val="0"/>
        <c:ser>
          <c:idx val="0"/>
          <c:order val="0"/>
          <c:tx>
            <c:strRef>
              <c:f>Sheet1!$Q$27:$Q$28</c:f>
              <c:strCache>
                <c:ptCount val="1"/>
                <c:pt idx="0">
                  <c:v>A</c:v>
                </c:pt>
              </c:strCache>
            </c:strRef>
          </c:tx>
          <c:invertIfNegative val="0"/>
          <c:cat>
            <c:strRef>
              <c:f>Sheet1!$P$29:$P$39</c:f>
              <c:strCache>
                <c:ptCount val="10"/>
                <c:pt idx="0">
                  <c:v>Chicken Products</c:v>
                </c:pt>
                <c:pt idx="1">
                  <c:v>Confectionary</c:v>
                </c:pt>
                <c:pt idx="2">
                  <c:v>Donut</c:v>
                </c:pt>
                <c:pt idx="3">
                  <c:v>Hot Chips/Potato Products</c:v>
                </c:pt>
                <c:pt idx="4">
                  <c:v>Nut Based Spreads</c:v>
                </c:pt>
                <c:pt idx="5">
                  <c:v>Pizza</c:v>
                </c:pt>
                <c:pt idx="6">
                  <c:v>Potato Crisps &amp; Corn Chips</c:v>
                </c:pt>
                <c:pt idx="7">
                  <c:v>Sausage Rolls</c:v>
                </c:pt>
                <c:pt idx="8">
                  <c:v>Sweet Biscuits</c:v>
                </c:pt>
                <c:pt idx="9">
                  <c:v>Vegetable Oil</c:v>
                </c:pt>
              </c:strCache>
            </c:strRef>
          </c:cat>
          <c:val>
            <c:numRef>
              <c:f>Sheet1!$Q$29:$Q$39</c:f>
              <c:numCache>
                <c:formatCode>General</c:formatCode>
                <c:ptCount val="10"/>
                <c:pt idx="0">
                  <c:v>0.4</c:v>
                </c:pt>
                <c:pt idx="1">
                  <c:v>0.4</c:v>
                </c:pt>
                <c:pt idx="2">
                  <c:v>0.4</c:v>
                </c:pt>
                <c:pt idx="3">
                  <c:v>0.2</c:v>
                </c:pt>
                <c:pt idx="4">
                  <c:v>0.3</c:v>
                </c:pt>
                <c:pt idx="5">
                  <c:v>0.2</c:v>
                </c:pt>
                <c:pt idx="6">
                  <c:v>0</c:v>
                </c:pt>
                <c:pt idx="7">
                  <c:v>0.4</c:v>
                </c:pt>
                <c:pt idx="8">
                  <c:v>0.2</c:v>
                </c:pt>
                <c:pt idx="9">
                  <c:v>1.1000000000000001</c:v>
                </c:pt>
              </c:numCache>
            </c:numRef>
          </c:val>
        </c:ser>
        <c:ser>
          <c:idx val="1"/>
          <c:order val="1"/>
          <c:tx>
            <c:strRef>
              <c:f>Sheet1!$R$27:$R$28</c:f>
              <c:strCache>
                <c:ptCount val="1"/>
                <c:pt idx="0">
                  <c:v>B</c:v>
                </c:pt>
              </c:strCache>
            </c:strRef>
          </c:tx>
          <c:invertIfNegative val="0"/>
          <c:cat>
            <c:strRef>
              <c:f>Sheet1!$P$29:$P$39</c:f>
              <c:strCache>
                <c:ptCount val="10"/>
                <c:pt idx="0">
                  <c:v>Chicken Products</c:v>
                </c:pt>
                <c:pt idx="1">
                  <c:v>Confectionary</c:v>
                </c:pt>
                <c:pt idx="2">
                  <c:v>Donut</c:v>
                </c:pt>
                <c:pt idx="3">
                  <c:v>Hot Chips/Potato Products</c:v>
                </c:pt>
                <c:pt idx="4">
                  <c:v>Nut Based Spreads</c:v>
                </c:pt>
                <c:pt idx="5">
                  <c:v>Pizza</c:v>
                </c:pt>
                <c:pt idx="6">
                  <c:v>Potato Crisps &amp; Corn Chips</c:v>
                </c:pt>
                <c:pt idx="7">
                  <c:v>Sausage Rolls</c:v>
                </c:pt>
                <c:pt idx="8">
                  <c:v>Sweet Biscuits</c:v>
                </c:pt>
                <c:pt idx="9">
                  <c:v>Vegetable Oil</c:v>
                </c:pt>
              </c:strCache>
            </c:strRef>
          </c:cat>
          <c:val>
            <c:numRef>
              <c:f>Sheet1!$R$29:$R$39</c:f>
              <c:numCache>
                <c:formatCode>General</c:formatCode>
                <c:ptCount val="10"/>
                <c:pt idx="0">
                  <c:v>0.27</c:v>
                </c:pt>
                <c:pt idx="1">
                  <c:v>0.37</c:v>
                </c:pt>
                <c:pt idx="2">
                  <c:v>0.6</c:v>
                </c:pt>
                <c:pt idx="3">
                  <c:v>0.12</c:v>
                </c:pt>
                <c:pt idx="4">
                  <c:v>7.0000000000000007E-2</c:v>
                </c:pt>
                <c:pt idx="5">
                  <c:v>0.25</c:v>
                </c:pt>
                <c:pt idx="6">
                  <c:v>0.52</c:v>
                </c:pt>
                <c:pt idx="7">
                  <c:v>0.74</c:v>
                </c:pt>
                <c:pt idx="8">
                  <c:v>0.17</c:v>
                </c:pt>
                <c:pt idx="9">
                  <c:v>0.86</c:v>
                </c:pt>
              </c:numCache>
            </c:numRef>
          </c:val>
        </c:ser>
        <c:ser>
          <c:idx val="2"/>
          <c:order val="2"/>
          <c:tx>
            <c:strRef>
              <c:f>Sheet1!$S$27:$S$28</c:f>
              <c:strCache>
                <c:ptCount val="1"/>
                <c:pt idx="0">
                  <c:v>C</c:v>
                </c:pt>
              </c:strCache>
            </c:strRef>
          </c:tx>
          <c:invertIfNegative val="0"/>
          <c:cat>
            <c:strRef>
              <c:f>Sheet1!$P$29:$P$39</c:f>
              <c:strCache>
                <c:ptCount val="10"/>
                <c:pt idx="0">
                  <c:v>Chicken Products</c:v>
                </c:pt>
                <c:pt idx="1">
                  <c:v>Confectionary</c:v>
                </c:pt>
                <c:pt idx="2">
                  <c:v>Donut</c:v>
                </c:pt>
                <c:pt idx="3">
                  <c:v>Hot Chips/Potato Products</c:v>
                </c:pt>
                <c:pt idx="4">
                  <c:v>Nut Based Spreads</c:v>
                </c:pt>
                <c:pt idx="5">
                  <c:v>Pizza</c:v>
                </c:pt>
                <c:pt idx="6">
                  <c:v>Potato Crisps &amp; Corn Chips</c:v>
                </c:pt>
                <c:pt idx="7">
                  <c:v>Sausage Rolls</c:v>
                </c:pt>
                <c:pt idx="8">
                  <c:v>Sweet Biscuits</c:v>
                </c:pt>
                <c:pt idx="9">
                  <c:v>Vegetable Oil</c:v>
                </c:pt>
              </c:strCache>
            </c:strRef>
          </c:cat>
          <c:val>
            <c:numRef>
              <c:f>Sheet1!$S$29:$S$39</c:f>
              <c:numCache>
                <c:formatCode>General</c:formatCode>
                <c:ptCount val="10"/>
                <c:pt idx="0">
                  <c:v>0.21</c:v>
                </c:pt>
                <c:pt idx="1">
                  <c:v>0.05</c:v>
                </c:pt>
                <c:pt idx="2">
                  <c:v>0.56000000000000005</c:v>
                </c:pt>
                <c:pt idx="3">
                  <c:v>0.05</c:v>
                </c:pt>
                <c:pt idx="4">
                  <c:v>0</c:v>
                </c:pt>
                <c:pt idx="5">
                  <c:v>0.18</c:v>
                </c:pt>
                <c:pt idx="6">
                  <c:v>0.04</c:v>
                </c:pt>
                <c:pt idx="7">
                  <c:v>0.49</c:v>
                </c:pt>
                <c:pt idx="8">
                  <c:v>0.16</c:v>
                </c:pt>
                <c:pt idx="9">
                  <c:v>0.39</c:v>
                </c:pt>
              </c:numCache>
            </c:numRef>
          </c:val>
        </c:ser>
        <c:dLbls>
          <c:showLegendKey val="0"/>
          <c:showVal val="0"/>
          <c:showCatName val="0"/>
          <c:showSerName val="0"/>
          <c:showPercent val="0"/>
          <c:showBubbleSize val="0"/>
        </c:dLbls>
        <c:gapWidth val="75"/>
        <c:overlap val="40"/>
        <c:axId val="145865728"/>
        <c:axId val="145867520"/>
      </c:barChart>
      <c:catAx>
        <c:axId val="145865728"/>
        <c:scaling>
          <c:orientation val="minMax"/>
        </c:scaling>
        <c:delete val="0"/>
        <c:axPos val="b"/>
        <c:majorTickMark val="none"/>
        <c:minorTickMark val="none"/>
        <c:tickLblPos val="nextTo"/>
        <c:crossAx val="145867520"/>
        <c:crosses val="autoZero"/>
        <c:auto val="1"/>
        <c:lblAlgn val="ctr"/>
        <c:lblOffset val="100"/>
        <c:noMultiLvlLbl val="0"/>
      </c:catAx>
      <c:valAx>
        <c:axId val="145867520"/>
        <c:scaling>
          <c:orientation val="minMax"/>
        </c:scaling>
        <c:delete val="0"/>
        <c:axPos val="l"/>
        <c:title>
          <c:tx>
            <c:rich>
              <a:bodyPr rot="-5400000" vert="horz"/>
              <a:lstStyle/>
              <a:p>
                <a:pPr>
                  <a:defRPr/>
                </a:pPr>
                <a:r>
                  <a:rPr lang="en-US"/>
                  <a:t>(</a:t>
                </a:r>
                <a:r>
                  <a:rPr lang="en-US" sz="1000" b="1" i="0" u="none" strike="noStrike" kern="1200" baseline="0">
                    <a:solidFill>
                      <a:sysClr val="windowText" lastClr="000000"/>
                    </a:solidFill>
                    <a:latin typeface="+mn-lt"/>
                    <a:ea typeface="+mn-ea"/>
                    <a:cs typeface="+mn-cs"/>
                  </a:rPr>
                  <a:t>g/ 100 g</a:t>
                </a:r>
                <a:r>
                  <a:rPr lang="en-US"/>
                  <a:t>food)</a:t>
                </a:r>
              </a:p>
            </c:rich>
          </c:tx>
          <c:layout/>
          <c:overlay val="0"/>
        </c:title>
        <c:numFmt formatCode="General" sourceLinked="1"/>
        <c:majorTickMark val="none"/>
        <c:minorTickMark val="none"/>
        <c:tickLblPos val="nextTo"/>
        <c:crossAx val="1458657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drawings/_rels/drawing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drawings/_rels/drawing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drawings/_rels/drawing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rawings/_rels/drawing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drawings/_rels/drawing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0.05485</cdr:x>
      <cdr:y>0.7675</cdr:y>
    </cdr:from>
    <cdr:to>
      <cdr:x>1</cdr:x>
      <cdr:y>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14350" y="4275631"/>
          <a:ext cx="8863330" cy="1295224"/>
        </a:xfrm>
        <a:prstGeom xmlns:a="http://schemas.openxmlformats.org/drawingml/2006/main" prst="rect">
          <a:avLst/>
        </a:prstGeom>
        <a:ln xmlns:a="http://schemas.openxmlformats.org/drawingml/2006/main">
          <a:solidFill>
            <a:schemeClr val="tx1"/>
          </a:solidFill>
        </a:ln>
      </cdr:spPr>
    </cdr:pic>
  </cdr:relSizeAnchor>
  <cdr:relSizeAnchor xmlns:cdr="http://schemas.openxmlformats.org/drawingml/2006/chartDrawing">
    <cdr:from>
      <cdr:x>0.82679</cdr:x>
      <cdr:y>0.06668</cdr:y>
    </cdr:from>
    <cdr:to>
      <cdr:x>0.92835</cdr:x>
      <cdr:y>0.16413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7753350" y="371475"/>
          <a:ext cx="952381" cy="54285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0.05862</cdr:x>
      <cdr:y>0.7623</cdr:y>
    </cdr:from>
    <cdr:to>
      <cdr:x>1</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52833" y="4295553"/>
          <a:ext cx="8878187" cy="1339437"/>
        </a:xfrm>
        <a:prstGeom xmlns:a="http://schemas.openxmlformats.org/drawingml/2006/main" prst="rect">
          <a:avLst/>
        </a:prstGeom>
        <a:ln xmlns:a="http://schemas.openxmlformats.org/drawingml/2006/main">
          <a:solidFill>
            <a:schemeClr val="tx1"/>
          </a:solidFill>
        </a:ln>
      </cdr:spPr>
    </cdr:pic>
  </cdr:relSizeAnchor>
  <cdr:relSizeAnchor xmlns:cdr="http://schemas.openxmlformats.org/drawingml/2006/chartDrawing">
    <cdr:from>
      <cdr:x>0.8275</cdr:x>
      <cdr:y>0.07494</cdr:y>
    </cdr:from>
    <cdr:to>
      <cdr:x>0.92848</cdr:x>
      <cdr:y>0.17127</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7804150" y="422275"/>
          <a:ext cx="952381" cy="542857"/>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0.06639</cdr:x>
      <cdr:y>0.799</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26041" y="4581525"/>
          <a:ext cx="8803709" cy="1152525"/>
        </a:xfrm>
        <a:prstGeom xmlns:a="http://schemas.openxmlformats.org/drawingml/2006/main" prst="rect">
          <a:avLst/>
        </a:prstGeom>
        <a:ln xmlns:a="http://schemas.openxmlformats.org/drawingml/2006/main">
          <a:solidFill>
            <a:schemeClr val="tx1"/>
          </a:solidFill>
        </a:ln>
      </cdr:spPr>
    </cdr:pic>
  </cdr:relSizeAnchor>
  <cdr:relSizeAnchor xmlns:cdr="http://schemas.openxmlformats.org/drawingml/2006/chartDrawing">
    <cdr:from>
      <cdr:x>0.82761</cdr:x>
      <cdr:y>0.07364</cdr:y>
    </cdr:from>
    <cdr:to>
      <cdr:x>0.92861</cdr:x>
      <cdr:y>0.16832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7804150" y="422275"/>
          <a:ext cx="952381" cy="542857"/>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0.05323</cdr:x>
      <cdr:y>0.74932</cdr:y>
    </cdr:from>
    <cdr:to>
      <cdr:x>1</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9749" y="3871733"/>
          <a:ext cx="8888726" cy="1295262"/>
        </a:xfrm>
        <a:prstGeom xmlns:a="http://schemas.openxmlformats.org/drawingml/2006/main" prst="rect">
          <a:avLst/>
        </a:prstGeom>
        <a:ln xmlns:a="http://schemas.openxmlformats.org/drawingml/2006/main">
          <a:solidFill>
            <a:schemeClr val="tx1"/>
          </a:solidFill>
        </a:ln>
      </cdr:spPr>
    </cdr:pic>
  </cdr:relSizeAnchor>
  <cdr:relSizeAnchor xmlns:cdr="http://schemas.openxmlformats.org/drawingml/2006/chartDrawing">
    <cdr:from>
      <cdr:x>0.83125</cdr:x>
      <cdr:y>0.08827</cdr:y>
    </cdr:from>
    <cdr:to>
      <cdr:x>0.93269</cdr:x>
      <cdr:y>0.20174</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7804150" y="422275"/>
          <a:ext cx="952381" cy="542857"/>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0.05802</cdr:x>
      <cdr:y>0.75956</cdr:y>
    </cdr:from>
    <cdr:to>
      <cdr:x>1</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42261" y="4231418"/>
          <a:ext cx="8803669" cy="1339437"/>
        </a:xfrm>
        <a:prstGeom xmlns:a="http://schemas.openxmlformats.org/drawingml/2006/main" prst="rect">
          <a:avLst/>
        </a:prstGeom>
        <a:ln xmlns:a="http://schemas.openxmlformats.org/drawingml/2006/main">
          <a:solidFill>
            <a:schemeClr val="tx1"/>
          </a:solidFill>
        </a:ln>
      </cdr:spPr>
    </cdr:pic>
  </cdr:relSizeAnchor>
  <cdr:relSizeAnchor xmlns:cdr="http://schemas.openxmlformats.org/drawingml/2006/chartDrawing">
    <cdr:from>
      <cdr:x>0.83503</cdr:x>
      <cdr:y>0.08362</cdr:y>
    </cdr:from>
    <cdr:to>
      <cdr:x>0.93694</cdr:x>
      <cdr:y>0.19111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7804150" y="422275"/>
          <a:ext cx="952381" cy="542857"/>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0.04672</cdr:x>
      <cdr:y>0.7524</cdr:y>
    </cdr:from>
    <cdr:to>
      <cdr:x>1</cdr:x>
      <cdr:y>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8150" y="3551772"/>
          <a:ext cx="8939530" cy="1168818"/>
        </a:xfrm>
        <a:prstGeom xmlns:a="http://schemas.openxmlformats.org/drawingml/2006/main" prst="rect">
          <a:avLst/>
        </a:prstGeom>
        <a:ln xmlns:a="http://schemas.openxmlformats.org/drawingml/2006/main">
          <a:solidFill>
            <a:schemeClr val="tx1"/>
          </a:solidFill>
        </a:ln>
      </cdr:spPr>
    </cdr:pic>
  </cdr:relSizeAnchor>
  <cdr:relSizeAnchor xmlns:cdr="http://schemas.openxmlformats.org/drawingml/2006/chartDrawing">
    <cdr:from>
      <cdr:x>0.8322</cdr:x>
      <cdr:y>0.08945</cdr:y>
    </cdr:from>
    <cdr:to>
      <cdr:x>0.93376</cdr:x>
      <cdr:y>0.20445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7804150" y="422275"/>
          <a:ext cx="952381" cy="542857"/>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99B91-E3C2-4559-B348-669A25E86ADF}"/>
</file>

<file path=customXml/itemProps2.xml><?xml version="1.0" encoding="utf-8"?>
<ds:datastoreItem xmlns:ds="http://schemas.openxmlformats.org/officeDocument/2006/customXml" ds:itemID="{05DEF66C-D102-4AF5-8DF0-05437BF8E8C8}"/>
</file>

<file path=customXml/itemProps3.xml><?xml version="1.0" encoding="utf-8"?>
<ds:datastoreItem xmlns:ds="http://schemas.openxmlformats.org/officeDocument/2006/customXml" ds:itemID="{8C5E47EF-96A8-4289-B3D5-DB2D6AD06533}"/>
</file>

<file path=customXml/itemProps4.xml><?xml version="1.0" encoding="utf-8"?>
<ds:datastoreItem xmlns:ds="http://schemas.openxmlformats.org/officeDocument/2006/customXml" ds:itemID="{3C35A3F9-8DAA-4E85-864F-0DDC184BC03B}"/>
</file>

<file path=docProps/app.xml><?xml version="1.0" encoding="utf-8"?>
<Properties xmlns="http://schemas.openxmlformats.org/officeDocument/2006/extended-properties" xmlns:vt="http://schemas.openxmlformats.org/officeDocument/2006/docPropsVTypes">
  <Template>Normal</Template>
  <TotalTime>7</TotalTime>
  <Pages>56</Pages>
  <Words>15832</Words>
  <Characters>90249</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105870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Diane Bourn</dc:creator>
  <cp:lastModifiedBy>Diane Bourn</cp:lastModifiedBy>
  <cp:revision>7</cp:revision>
  <cp:lastPrinted>2014-07-08T01:20:00Z</cp:lastPrinted>
  <dcterms:created xsi:type="dcterms:W3CDTF">2014-08-24T20:54:00Z</dcterms:created>
  <dcterms:modified xsi:type="dcterms:W3CDTF">2015-01-22T01:24:00Z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ies>
</file>